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3C4" w:rsidRDefault="005423C4" w:rsidP="005423C4">
      <w:pPr>
        <w:pStyle w:val="1"/>
        <w:rPr>
          <w:rFonts w:ascii="宋体" w:eastAsia="宋体" w:hAnsi="宋体" w:cs="宋体"/>
          <w:b/>
          <w:bCs/>
          <w:sz w:val="36"/>
          <w:szCs w:val="36"/>
        </w:rPr>
      </w:pPr>
      <w:r>
        <w:rPr>
          <w:rFonts w:ascii="Times New Roman" w:eastAsia="宋体"/>
          <w:b/>
          <w:bCs/>
          <w:sz w:val="36"/>
          <w:szCs w:val="36"/>
        </w:rPr>
        <w:t>202</w:t>
      </w:r>
      <w:r w:rsidR="002D6ECF">
        <w:rPr>
          <w:rFonts w:ascii="Times New Roman" w:eastAsia="宋体"/>
          <w:b/>
          <w:bCs/>
          <w:sz w:val="36"/>
          <w:szCs w:val="36"/>
        </w:rPr>
        <w:t>3</w:t>
      </w:r>
      <w:r>
        <w:rPr>
          <w:rFonts w:ascii="宋体" w:eastAsia="宋体" w:hAnsi="宋体" w:cs="宋体" w:hint="eastAsia"/>
          <w:b/>
          <w:bCs/>
          <w:sz w:val="36"/>
          <w:szCs w:val="36"/>
        </w:rPr>
        <w:t>年度广东省科学技术奖公示表</w:t>
      </w:r>
    </w:p>
    <w:p w:rsidR="005423C4" w:rsidRPr="00F40807" w:rsidRDefault="005423C4" w:rsidP="005423C4">
      <w:pPr>
        <w:pStyle w:val="1"/>
        <w:rPr>
          <w:rFonts w:ascii="宋体" w:eastAsia="宋体" w:hAnsi="宋体" w:cs="宋体"/>
          <w:b/>
          <w:bCs/>
          <w:sz w:val="32"/>
          <w:szCs w:val="32"/>
        </w:rPr>
      </w:pPr>
      <w:r w:rsidRPr="00F40807">
        <w:rPr>
          <w:rFonts w:ascii="宋体" w:eastAsia="宋体" w:hAnsi="宋体" w:cs="宋体" w:hint="eastAsia"/>
          <w:b/>
          <w:bCs/>
          <w:sz w:val="32"/>
          <w:szCs w:val="32"/>
        </w:rPr>
        <w:t>（自然科学奖、技术发明奖、科技进步奖、科技成果推广奖格式）</w:t>
      </w:r>
    </w:p>
    <w:p w:rsidR="005423C4" w:rsidRDefault="005423C4" w:rsidP="005423C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7849"/>
      </w:tblGrid>
      <w:tr w:rsidR="005423C4" w:rsidTr="00060D9A">
        <w:trPr>
          <w:trHeight w:val="553"/>
          <w:jc w:val="center"/>
        </w:trPr>
        <w:tc>
          <w:tcPr>
            <w:tcW w:w="1615" w:type="dxa"/>
            <w:vAlign w:val="center"/>
          </w:tcPr>
          <w:p w:rsidR="005423C4" w:rsidRDefault="005423C4" w:rsidP="001B6C34">
            <w:pPr>
              <w:adjustRightInd w:val="0"/>
              <w:snapToGrid w:val="0"/>
              <w:jc w:val="center"/>
              <w:rPr>
                <w:rFonts w:ascii="仿宋" w:eastAsia="仿宋" w:hAnsi="仿宋"/>
                <w:b/>
                <w:bCs/>
              </w:rPr>
            </w:pPr>
            <w:r>
              <w:rPr>
                <w:rFonts w:ascii="仿宋" w:eastAsia="仿宋" w:hAnsi="仿宋" w:hint="eastAsia"/>
                <w:b/>
                <w:bCs/>
              </w:rPr>
              <w:t>项目名称</w:t>
            </w:r>
          </w:p>
        </w:tc>
        <w:tc>
          <w:tcPr>
            <w:tcW w:w="7849" w:type="dxa"/>
            <w:vAlign w:val="center"/>
          </w:tcPr>
          <w:p w:rsidR="005423C4" w:rsidRPr="005423C4" w:rsidRDefault="002D6ECF" w:rsidP="001B6C34">
            <w:pPr>
              <w:spacing w:line="360" w:lineRule="auto"/>
              <w:jc w:val="center"/>
              <w:rPr>
                <w:rFonts w:ascii="仿宋" w:eastAsia="仿宋" w:hAnsi="仿宋"/>
                <w:bCs/>
              </w:rPr>
            </w:pPr>
            <w:r>
              <w:rPr>
                <w:rFonts w:hint="eastAsia"/>
                <w:szCs w:val="21"/>
              </w:rPr>
              <w:t>极端环境下城市地铁浸水风险分析与系统评价</w:t>
            </w:r>
          </w:p>
        </w:tc>
      </w:tr>
      <w:tr w:rsidR="005423C4" w:rsidTr="00060D9A">
        <w:trPr>
          <w:trHeight w:val="397"/>
          <w:jc w:val="center"/>
        </w:trPr>
        <w:tc>
          <w:tcPr>
            <w:tcW w:w="1615" w:type="dxa"/>
            <w:vMerge w:val="restart"/>
            <w:vAlign w:val="center"/>
          </w:tcPr>
          <w:p w:rsidR="005423C4" w:rsidRDefault="005423C4" w:rsidP="001B6C34">
            <w:pPr>
              <w:snapToGrid w:val="0"/>
              <w:jc w:val="center"/>
              <w:rPr>
                <w:rFonts w:ascii="仿宋" w:eastAsia="仿宋" w:hAnsi="仿宋"/>
              </w:rPr>
            </w:pPr>
            <w:r>
              <w:rPr>
                <w:rFonts w:ascii="仿宋" w:eastAsia="仿宋" w:hAnsi="仿宋" w:hint="eastAsia"/>
                <w:b/>
                <w:bCs/>
              </w:rPr>
              <w:t>主要完成单位</w:t>
            </w:r>
          </w:p>
        </w:tc>
        <w:tc>
          <w:tcPr>
            <w:tcW w:w="7849" w:type="dxa"/>
            <w:vAlign w:val="center"/>
          </w:tcPr>
          <w:p w:rsidR="005423C4" w:rsidRDefault="005423C4" w:rsidP="005423C4">
            <w:pPr>
              <w:spacing w:line="360" w:lineRule="auto"/>
              <w:rPr>
                <w:rFonts w:ascii="仿宋" w:eastAsia="仿宋" w:hAnsi="仿宋"/>
              </w:rPr>
            </w:pPr>
            <w:r>
              <w:rPr>
                <w:rFonts w:ascii="仿宋" w:eastAsia="仿宋" w:hAnsi="仿宋" w:hint="eastAsia"/>
              </w:rPr>
              <w:t>汕头大学</w:t>
            </w:r>
          </w:p>
        </w:tc>
      </w:tr>
      <w:tr w:rsidR="005423C4" w:rsidTr="00060D9A">
        <w:trPr>
          <w:trHeight w:val="397"/>
          <w:jc w:val="center"/>
        </w:trPr>
        <w:tc>
          <w:tcPr>
            <w:tcW w:w="1615" w:type="dxa"/>
            <w:vMerge/>
            <w:vAlign w:val="center"/>
          </w:tcPr>
          <w:p w:rsidR="005423C4" w:rsidRDefault="005423C4" w:rsidP="001B6C34">
            <w:pPr>
              <w:spacing w:line="360" w:lineRule="auto"/>
              <w:jc w:val="center"/>
              <w:rPr>
                <w:rFonts w:ascii="仿宋" w:eastAsia="仿宋" w:hAnsi="仿宋"/>
                <w:b/>
                <w:bCs/>
              </w:rPr>
            </w:pPr>
          </w:p>
        </w:tc>
        <w:tc>
          <w:tcPr>
            <w:tcW w:w="7849" w:type="dxa"/>
            <w:vAlign w:val="center"/>
          </w:tcPr>
          <w:p w:rsidR="005423C4" w:rsidRDefault="005423C4" w:rsidP="001B6C34">
            <w:pPr>
              <w:spacing w:line="360" w:lineRule="auto"/>
              <w:rPr>
                <w:rFonts w:ascii="仿宋" w:eastAsia="仿宋" w:hAnsi="仿宋" w:cs="宋体"/>
              </w:rPr>
            </w:pPr>
            <w:r>
              <w:rPr>
                <w:rFonts w:ascii="仿宋" w:eastAsia="仿宋" w:hAnsi="仿宋" w:hint="eastAsia"/>
              </w:rPr>
              <w:t>上海交通大学</w:t>
            </w:r>
          </w:p>
        </w:tc>
      </w:tr>
      <w:tr w:rsidR="002D6ECF" w:rsidTr="00060D9A">
        <w:trPr>
          <w:trHeight w:val="397"/>
          <w:jc w:val="center"/>
        </w:trPr>
        <w:tc>
          <w:tcPr>
            <w:tcW w:w="1615" w:type="dxa"/>
            <w:vMerge/>
            <w:vAlign w:val="center"/>
          </w:tcPr>
          <w:p w:rsidR="002D6ECF" w:rsidRDefault="002D6ECF" w:rsidP="001B6C34">
            <w:pPr>
              <w:spacing w:line="360" w:lineRule="auto"/>
              <w:jc w:val="center"/>
              <w:rPr>
                <w:rFonts w:ascii="仿宋" w:eastAsia="仿宋" w:hAnsi="仿宋"/>
                <w:b/>
                <w:bCs/>
              </w:rPr>
            </w:pPr>
          </w:p>
        </w:tc>
        <w:tc>
          <w:tcPr>
            <w:tcW w:w="7849" w:type="dxa"/>
            <w:vAlign w:val="center"/>
          </w:tcPr>
          <w:p w:rsidR="002D6ECF" w:rsidRDefault="002D6ECF" w:rsidP="001B6C34">
            <w:pPr>
              <w:spacing w:line="360" w:lineRule="auto"/>
              <w:rPr>
                <w:rFonts w:ascii="仿宋" w:eastAsia="仿宋" w:hAnsi="仿宋"/>
              </w:rPr>
            </w:pPr>
            <w:r>
              <w:rPr>
                <w:rFonts w:ascii="仿宋" w:eastAsia="仿宋" w:hAnsi="仿宋" w:hint="eastAsia"/>
              </w:rPr>
              <w:t>上海工程技术大学</w:t>
            </w:r>
          </w:p>
        </w:tc>
      </w:tr>
      <w:tr w:rsidR="005423C4" w:rsidTr="00060D9A">
        <w:trPr>
          <w:trHeight w:val="413"/>
          <w:jc w:val="center"/>
        </w:trPr>
        <w:tc>
          <w:tcPr>
            <w:tcW w:w="1615" w:type="dxa"/>
            <w:vMerge/>
            <w:vAlign w:val="center"/>
          </w:tcPr>
          <w:p w:rsidR="005423C4" w:rsidRDefault="005423C4" w:rsidP="001B6C34">
            <w:pPr>
              <w:spacing w:line="360" w:lineRule="auto"/>
              <w:jc w:val="center"/>
              <w:rPr>
                <w:rFonts w:ascii="仿宋" w:eastAsia="仿宋" w:hAnsi="仿宋"/>
                <w:b/>
                <w:bCs/>
              </w:rPr>
            </w:pPr>
          </w:p>
        </w:tc>
        <w:tc>
          <w:tcPr>
            <w:tcW w:w="7849" w:type="dxa"/>
            <w:vAlign w:val="center"/>
          </w:tcPr>
          <w:p w:rsidR="005423C4" w:rsidRDefault="005423C4" w:rsidP="001B6C34">
            <w:pPr>
              <w:spacing w:line="360" w:lineRule="auto"/>
              <w:jc w:val="left"/>
              <w:rPr>
                <w:rFonts w:ascii="仿宋" w:eastAsia="仿宋" w:hAnsi="仿宋" w:cs="宋体"/>
              </w:rPr>
            </w:pPr>
            <w:r>
              <w:rPr>
                <w:rFonts w:ascii="仿宋" w:eastAsia="仿宋" w:hAnsi="仿宋" w:cs="宋体" w:hint="eastAsia"/>
              </w:rPr>
              <w:t>香港理工大学</w:t>
            </w:r>
          </w:p>
        </w:tc>
      </w:tr>
      <w:tr w:rsidR="005423C4" w:rsidTr="00060D9A">
        <w:trPr>
          <w:trHeight w:val="397"/>
          <w:jc w:val="center"/>
        </w:trPr>
        <w:tc>
          <w:tcPr>
            <w:tcW w:w="1615" w:type="dxa"/>
            <w:vMerge w:val="restart"/>
            <w:vAlign w:val="center"/>
          </w:tcPr>
          <w:p w:rsidR="005423C4" w:rsidRDefault="005423C4" w:rsidP="001B6C34">
            <w:pPr>
              <w:adjustRightInd w:val="0"/>
              <w:snapToGrid w:val="0"/>
              <w:jc w:val="center"/>
              <w:rPr>
                <w:rFonts w:ascii="仿宋" w:eastAsia="仿宋" w:hAnsi="仿宋"/>
                <w:b/>
                <w:bCs/>
              </w:rPr>
            </w:pPr>
            <w:r>
              <w:rPr>
                <w:rFonts w:ascii="仿宋" w:eastAsia="仿宋" w:hAnsi="仿宋" w:hint="eastAsia"/>
                <w:b/>
                <w:bCs/>
              </w:rPr>
              <w:t>主要完成人</w:t>
            </w:r>
          </w:p>
          <w:p w:rsidR="005423C4" w:rsidRDefault="005423C4" w:rsidP="001B6C34">
            <w:pPr>
              <w:adjustRightInd w:val="0"/>
              <w:snapToGrid w:val="0"/>
              <w:jc w:val="center"/>
              <w:rPr>
                <w:rFonts w:ascii="仿宋" w:eastAsia="仿宋" w:hAnsi="仿宋"/>
              </w:rPr>
            </w:pPr>
            <w:r>
              <w:rPr>
                <w:rFonts w:ascii="仿宋" w:eastAsia="仿宋" w:hAnsi="仿宋" w:hint="eastAsia"/>
                <w:b/>
                <w:bCs/>
              </w:rPr>
              <w:t>（职称、完成单位、工作单位）</w:t>
            </w:r>
          </w:p>
        </w:tc>
        <w:tc>
          <w:tcPr>
            <w:tcW w:w="7849" w:type="dxa"/>
            <w:vAlign w:val="center"/>
          </w:tcPr>
          <w:p w:rsidR="005423C4" w:rsidRDefault="005423C4" w:rsidP="00CA34A1">
            <w:pPr>
              <w:adjustRightInd w:val="0"/>
              <w:snapToGrid w:val="0"/>
              <w:rPr>
                <w:rFonts w:ascii="仿宋" w:eastAsia="仿宋" w:hAnsi="仿宋"/>
              </w:rPr>
            </w:pPr>
            <w:r w:rsidRPr="00C613EF">
              <w:rPr>
                <w:rFonts w:ascii="仿宋" w:eastAsia="仿宋" w:hAnsi="仿宋" w:hint="eastAsia"/>
              </w:rPr>
              <w:t>1</w:t>
            </w:r>
            <w:r w:rsidRPr="00C613EF">
              <w:rPr>
                <w:rFonts w:ascii="仿宋" w:eastAsia="仿宋" w:hAnsi="仿宋"/>
              </w:rPr>
              <w:t>.</w:t>
            </w:r>
            <w:r>
              <w:rPr>
                <w:rFonts w:ascii="仿宋" w:eastAsia="仿宋" w:hAnsi="仿宋" w:hint="eastAsia"/>
              </w:rPr>
              <w:t>沈水龙</w:t>
            </w:r>
            <w:r w:rsidRPr="00C613EF">
              <w:rPr>
                <w:rFonts w:ascii="仿宋" w:eastAsia="仿宋" w:hAnsi="仿宋" w:hint="eastAsia"/>
              </w:rPr>
              <w:t>（</w:t>
            </w:r>
            <w:r>
              <w:rPr>
                <w:rFonts w:ascii="仿宋" w:eastAsia="仿宋" w:hAnsi="仿宋" w:hint="eastAsia"/>
              </w:rPr>
              <w:t>职称：</w:t>
            </w:r>
            <w:r w:rsidRPr="00C613EF">
              <w:rPr>
                <w:rFonts w:ascii="仿宋" w:eastAsia="仿宋" w:hAnsi="仿宋" w:hint="eastAsia"/>
              </w:rPr>
              <w:t>教授</w:t>
            </w:r>
            <w:r>
              <w:rPr>
                <w:rFonts w:ascii="仿宋" w:eastAsia="仿宋" w:hAnsi="仿宋" w:hint="eastAsia"/>
              </w:rPr>
              <w:t>；工作单位：</w:t>
            </w:r>
            <w:r w:rsidRPr="00C613EF">
              <w:rPr>
                <w:rFonts w:ascii="仿宋" w:eastAsia="仿宋" w:hAnsi="仿宋" w:hint="eastAsia"/>
              </w:rPr>
              <w:t>汕头大学</w:t>
            </w:r>
            <w:r>
              <w:rPr>
                <w:rFonts w:ascii="仿宋" w:eastAsia="仿宋" w:hAnsi="仿宋" w:hint="eastAsia"/>
              </w:rPr>
              <w:t>；完成单位：</w:t>
            </w:r>
            <w:r w:rsidRPr="00C613EF">
              <w:rPr>
                <w:rFonts w:ascii="仿宋" w:eastAsia="仿宋" w:hAnsi="仿宋" w:hint="eastAsia"/>
              </w:rPr>
              <w:t>汕头大学</w:t>
            </w:r>
            <w:r>
              <w:rPr>
                <w:rFonts w:ascii="仿宋" w:eastAsia="仿宋" w:hAnsi="仿宋" w:hint="eastAsia"/>
              </w:rPr>
              <w:t>；主要贡献：项目负责人，</w:t>
            </w:r>
            <w:r w:rsidR="002D6ECF" w:rsidRPr="002D6ECF">
              <w:rPr>
                <w:rFonts w:ascii="仿宋" w:eastAsia="仿宋" w:hAnsi="仿宋" w:hint="eastAsia"/>
              </w:rPr>
              <w:t>重要科学发现点1、2、3立意和概念的提出者，并对其做出了重要贡献，代表性论文1、2、3、4、5的通讯作者。投入本项目研究的工作量占本人工作量的60%。主要创新性研究工作包括：(1) 发现了地下构筑物对地地下水渗流的挡水效应机理，开发了控制地下水平衡与确保地下工程建设安全的分析方法; (2) 发现了现有系统工程分析法存在的两大缺点，提出了有效的灾害风险源识别评级方法，探明了风险因素之间的相互作用关系; (3) 发现了地表建筑物阻挡效应对水流分布扩散机制与地铁车站浸水规律，开发了从定性到定量、从整体到局部的地铁系统浸水灾害风险分析方法。</w:t>
            </w:r>
            <w:r w:rsidRPr="00C613EF">
              <w:rPr>
                <w:rFonts w:ascii="仿宋" w:eastAsia="仿宋" w:hAnsi="仿宋" w:hint="eastAsia"/>
              </w:rPr>
              <w:t>）</w:t>
            </w:r>
          </w:p>
        </w:tc>
      </w:tr>
      <w:tr w:rsidR="005423C4" w:rsidTr="00060D9A">
        <w:trPr>
          <w:trHeight w:val="397"/>
          <w:jc w:val="center"/>
        </w:trPr>
        <w:tc>
          <w:tcPr>
            <w:tcW w:w="1615" w:type="dxa"/>
            <w:vMerge/>
            <w:vAlign w:val="center"/>
          </w:tcPr>
          <w:p w:rsidR="005423C4" w:rsidRDefault="005423C4" w:rsidP="001B6C34">
            <w:pPr>
              <w:adjustRightInd w:val="0"/>
              <w:snapToGrid w:val="0"/>
              <w:jc w:val="center"/>
              <w:rPr>
                <w:rFonts w:ascii="仿宋" w:eastAsia="仿宋" w:hAnsi="仿宋"/>
                <w:b/>
                <w:bCs/>
              </w:rPr>
            </w:pPr>
          </w:p>
        </w:tc>
        <w:tc>
          <w:tcPr>
            <w:tcW w:w="7849" w:type="dxa"/>
            <w:vAlign w:val="center"/>
          </w:tcPr>
          <w:p w:rsidR="005423C4" w:rsidRDefault="00F61E8A" w:rsidP="007940BD">
            <w:pPr>
              <w:adjustRightInd w:val="0"/>
              <w:snapToGrid w:val="0"/>
              <w:rPr>
                <w:rFonts w:ascii="仿宋" w:eastAsia="仿宋" w:hAnsi="仿宋"/>
              </w:rPr>
            </w:pPr>
            <w:r>
              <w:rPr>
                <w:rFonts w:ascii="仿宋" w:eastAsia="仿宋" w:hAnsi="仿宋"/>
              </w:rPr>
              <w:t>2</w:t>
            </w:r>
            <w:r w:rsidR="007940BD" w:rsidRPr="00C613EF">
              <w:rPr>
                <w:rFonts w:ascii="仿宋" w:eastAsia="仿宋" w:hAnsi="仿宋"/>
              </w:rPr>
              <w:t>.</w:t>
            </w:r>
            <w:r w:rsidR="007940BD">
              <w:rPr>
                <w:rFonts w:ascii="仿宋" w:eastAsia="仿宋" w:hAnsi="仿宋" w:hint="eastAsia"/>
              </w:rPr>
              <w:t>吕海敏</w:t>
            </w:r>
            <w:r w:rsidR="007940BD" w:rsidRPr="00C613EF">
              <w:rPr>
                <w:rFonts w:ascii="仿宋" w:eastAsia="仿宋" w:hAnsi="仿宋" w:hint="eastAsia"/>
              </w:rPr>
              <w:t>（</w:t>
            </w:r>
            <w:r w:rsidR="007940BD">
              <w:rPr>
                <w:rFonts w:ascii="仿宋" w:eastAsia="仿宋" w:hAnsi="仿宋" w:hint="eastAsia"/>
              </w:rPr>
              <w:t>职称：博士后研究人员；工作单位：香港理工</w:t>
            </w:r>
            <w:r w:rsidR="007940BD" w:rsidRPr="00C613EF">
              <w:rPr>
                <w:rFonts w:ascii="仿宋" w:eastAsia="仿宋" w:hAnsi="仿宋" w:hint="eastAsia"/>
              </w:rPr>
              <w:t>大学</w:t>
            </w:r>
            <w:r w:rsidR="007940BD">
              <w:rPr>
                <w:rFonts w:ascii="仿宋" w:eastAsia="仿宋" w:hAnsi="仿宋" w:hint="eastAsia"/>
              </w:rPr>
              <w:t>；完成单位：</w:t>
            </w:r>
            <w:r w:rsidR="002D6ECF">
              <w:rPr>
                <w:rFonts w:ascii="仿宋" w:eastAsia="仿宋" w:hAnsi="仿宋" w:hint="eastAsia"/>
              </w:rPr>
              <w:t>上海交通大学</w:t>
            </w:r>
            <w:r w:rsidR="007940BD">
              <w:rPr>
                <w:rFonts w:ascii="仿宋" w:eastAsia="仿宋" w:hAnsi="仿宋" w:hint="eastAsia"/>
              </w:rPr>
              <w:t>；主要贡献：项目主要完成人，</w:t>
            </w:r>
            <w:r w:rsidR="002D6ECF" w:rsidRPr="002D6ECF">
              <w:rPr>
                <w:rFonts w:ascii="仿宋" w:eastAsia="仿宋" w:hAnsi="仿宋" w:hint="eastAsia"/>
              </w:rPr>
              <w:t>对重要科学发现点1、2、3的具体论证实施做出了重要贡献，代表性论文1、2、3、4、5的第一作者。投入本项目研究的工作量占本人工作量的100%。主要创新性研究工作包括：(1) 发现了地下构筑物对地地下水渗流的挡水效应机理，开发了控制地下水平衡与确保地下工程建设安全的分析方法; (2) 发现了现有系统工程分析法存在的两大缺点，提出了有效的灾害风险源识别评级方法，探明了风险因素之间的相互作用关系; (3) 发现了地表建筑物阻挡效应对水流分布扩散机制与地铁车站浸水规律，开发了从定性到定量、从整体到局部的地铁系统浸水灾害风险分析方法。</w:t>
            </w:r>
            <w:r w:rsidR="007940BD" w:rsidRPr="00C613EF">
              <w:rPr>
                <w:rFonts w:ascii="仿宋" w:eastAsia="仿宋" w:hAnsi="仿宋" w:hint="eastAsia"/>
              </w:rPr>
              <w:t>）</w:t>
            </w:r>
          </w:p>
        </w:tc>
      </w:tr>
      <w:tr w:rsidR="005423C4" w:rsidTr="00060D9A">
        <w:trPr>
          <w:trHeight w:val="397"/>
          <w:jc w:val="center"/>
        </w:trPr>
        <w:tc>
          <w:tcPr>
            <w:tcW w:w="1615" w:type="dxa"/>
            <w:vMerge/>
            <w:vAlign w:val="center"/>
          </w:tcPr>
          <w:p w:rsidR="005423C4" w:rsidRDefault="005423C4" w:rsidP="001B6C34">
            <w:pPr>
              <w:adjustRightInd w:val="0"/>
              <w:snapToGrid w:val="0"/>
              <w:jc w:val="center"/>
              <w:rPr>
                <w:rFonts w:ascii="仿宋" w:eastAsia="仿宋" w:hAnsi="仿宋"/>
                <w:b/>
                <w:bCs/>
              </w:rPr>
            </w:pPr>
          </w:p>
        </w:tc>
        <w:tc>
          <w:tcPr>
            <w:tcW w:w="7849" w:type="dxa"/>
            <w:vAlign w:val="center"/>
          </w:tcPr>
          <w:p w:rsidR="005423C4" w:rsidRDefault="005423C4" w:rsidP="002D6ECF">
            <w:pPr>
              <w:adjustRightInd w:val="0"/>
              <w:snapToGrid w:val="0"/>
              <w:jc w:val="left"/>
              <w:rPr>
                <w:rFonts w:ascii="仿宋" w:eastAsia="仿宋" w:hAnsi="仿宋"/>
              </w:rPr>
            </w:pPr>
            <w:r>
              <w:rPr>
                <w:rFonts w:ascii="仿宋" w:eastAsia="仿宋" w:hAnsi="仿宋" w:hint="eastAsia"/>
              </w:rPr>
              <w:t>3.</w:t>
            </w:r>
            <w:r w:rsidR="002D6ECF">
              <w:rPr>
                <w:rFonts w:ascii="仿宋" w:eastAsia="仿宋" w:hAnsi="仿宋" w:hint="eastAsia"/>
              </w:rPr>
              <w:t>武永霞</w:t>
            </w:r>
            <w:r w:rsidR="007940BD" w:rsidRPr="00C613EF">
              <w:rPr>
                <w:rFonts w:ascii="仿宋" w:eastAsia="仿宋" w:hAnsi="仿宋" w:hint="eastAsia"/>
              </w:rPr>
              <w:t>（</w:t>
            </w:r>
            <w:r w:rsidR="002D6ECF">
              <w:rPr>
                <w:rFonts w:ascii="仿宋" w:eastAsia="仿宋" w:hAnsi="仿宋" w:hint="eastAsia"/>
              </w:rPr>
              <w:t>职称：副</w:t>
            </w:r>
            <w:r w:rsidR="00C17E01">
              <w:rPr>
                <w:rFonts w:ascii="仿宋" w:eastAsia="仿宋" w:hAnsi="仿宋" w:hint="eastAsia"/>
              </w:rPr>
              <w:t>教授</w:t>
            </w:r>
            <w:r w:rsidR="002D6ECF">
              <w:rPr>
                <w:rFonts w:ascii="仿宋" w:eastAsia="仿宋" w:hAnsi="仿宋" w:hint="eastAsia"/>
              </w:rPr>
              <w:t>；工作单位：上海工程技术</w:t>
            </w:r>
            <w:r w:rsidR="007940BD" w:rsidRPr="00C613EF">
              <w:rPr>
                <w:rFonts w:ascii="仿宋" w:eastAsia="仿宋" w:hAnsi="仿宋" w:hint="eastAsia"/>
              </w:rPr>
              <w:t>大学</w:t>
            </w:r>
            <w:r w:rsidR="007940BD">
              <w:rPr>
                <w:rFonts w:ascii="仿宋" w:eastAsia="仿宋" w:hAnsi="仿宋" w:hint="eastAsia"/>
              </w:rPr>
              <w:t>；完成单位：上海</w:t>
            </w:r>
            <w:r w:rsidR="002D6ECF">
              <w:rPr>
                <w:rFonts w:ascii="仿宋" w:eastAsia="仿宋" w:hAnsi="仿宋" w:hint="eastAsia"/>
              </w:rPr>
              <w:t>工程技术</w:t>
            </w:r>
            <w:r w:rsidR="007940BD" w:rsidRPr="00C613EF">
              <w:rPr>
                <w:rFonts w:ascii="仿宋" w:eastAsia="仿宋" w:hAnsi="仿宋" w:hint="eastAsia"/>
              </w:rPr>
              <w:t>大学</w:t>
            </w:r>
            <w:r w:rsidR="007940BD">
              <w:rPr>
                <w:rFonts w:ascii="仿宋" w:eastAsia="仿宋" w:hAnsi="仿宋" w:hint="eastAsia"/>
              </w:rPr>
              <w:t>；主要贡献：项目主要完成人，</w:t>
            </w:r>
            <w:r w:rsidR="002D6ECF" w:rsidRPr="002D6ECF">
              <w:rPr>
                <w:rFonts w:ascii="仿宋" w:eastAsia="仿宋" w:hAnsi="仿宋" w:hint="eastAsia"/>
              </w:rPr>
              <w:t>对重要科学发现点1的具体论证实施做出了重要贡献，代表性论文5的合作者。投入本项目研究的工作量占本人工作量的30%。主要创新性研究工作为，发现了地下</w:t>
            </w:r>
            <w:bookmarkStart w:id="0" w:name="_GoBack"/>
            <w:bookmarkEnd w:id="0"/>
            <w:r w:rsidR="002D6ECF" w:rsidRPr="002D6ECF">
              <w:rPr>
                <w:rFonts w:ascii="仿宋" w:eastAsia="仿宋" w:hAnsi="仿宋" w:hint="eastAsia"/>
              </w:rPr>
              <w:t>构筑物对地地下水渗流的挡水效应机理，开发了控制地下水平衡与确保地下工程建设安全的分析方法。</w:t>
            </w:r>
            <w:r w:rsidR="007940BD" w:rsidRPr="00C613EF">
              <w:rPr>
                <w:rFonts w:ascii="仿宋" w:eastAsia="仿宋" w:hAnsi="仿宋" w:hint="eastAsia"/>
              </w:rPr>
              <w:t>）</w:t>
            </w:r>
          </w:p>
        </w:tc>
      </w:tr>
      <w:tr w:rsidR="005423C4" w:rsidTr="00060D9A">
        <w:trPr>
          <w:trHeight w:val="397"/>
          <w:jc w:val="center"/>
        </w:trPr>
        <w:tc>
          <w:tcPr>
            <w:tcW w:w="1615" w:type="dxa"/>
            <w:vMerge/>
            <w:vAlign w:val="center"/>
          </w:tcPr>
          <w:p w:rsidR="005423C4" w:rsidRDefault="005423C4" w:rsidP="001B6C34">
            <w:pPr>
              <w:adjustRightInd w:val="0"/>
              <w:snapToGrid w:val="0"/>
              <w:jc w:val="center"/>
              <w:rPr>
                <w:rFonts w:ascii="仿宋" w:eastAsia="仿宋" w:hAnsi="仿宋"/>
                <w:b/>
                <w:bCs/>
              </w:rPr>
            </w:pPr>
          </w:p>
        </w:tc>
        <w:tc>
          <w:tcPr>
            <w:tcW w:w="7849" w:type="dxa"/>
            <w:vAlign w:val="center"/>
          </w:tcPr>
          <w:p w:rsidR="005423C4" w:rsidRDefault="007940BD" w:rsidP="00CA34A1">
            <w:pPr>
              <w:adjustRightInd w:val="0"/>
              <w:snapToGrid w:val="0"/>
              <w:jc w:val="left"/>
              <w:rPr>
                <w:rFonts w:ascii="仿宋" w:eastAsia="仿宋" w:hAnsi="仿宋"/>
              </w:rPr>
            </w:pPr>
            <w:r>
              <w:rPr>
                <w:rFonts w:ascii="仿宋" w:eastAsia="仿宋" w:hAnsi="仿宋"/>
              </w:rPr>
              <w:t>4</w:t>
            </w:r>
            <w:r>
              <w:rPr>
                <w:rFonts w:ascii="仿宋" w:eastAsia="仿宋" w:hAnsi="仿宋" w:hint="eastAsia"/>
              </w:rPr>
              <w:t>.尹振宇</w:t>
            </w:r>
            <w:r w:rsidRPr="00C613EF">
              <w:rPr>
                <w:rFonts w:ascii="仿宋" w:eastAsia="仿宋" w:hAnsi="仿宋" w:hint="eastAsia"/>
              </w:rPr>
              <w:t>（</w:t>
            </w:r>
            <w:r>
              <w:rPr>
                <w:rFonts w:ascii="仿宋" w:eastAsia="仿宋" w:hAnsi="仿宋" w:hint="eastAsia"/>
              </w:rPr>
              <w:t>职称：教授；工作单位：香港理工</w:t>
            </w:r>
            <w:r w:rsidRPr="00C613EF">
              <w:rPr>
                <w:rFonts w:ascii="仿宋" w:eastAsia="仿宋" w:hAnsi="仿宋" w:hint="eastAsia"/>
              </w:rPr>
              <w:t>大学</w:t>
            </w:r>
            <w:r>
              <w:rPr>
                <w:rFonts w:ascii="仿宋" w:eastAsia="仿宋" w:hAnsi="仿宋" w:hint="eastAsia"/>
              </w:rPr>
              <w:t>；完成单位：香港理工</w:t>
            </w:r>
            <w:r w:rsidRPr="00C613EF">
              <w:rPr>
                <w:rFonts w:ascii="仿宋" w:eastAsia="仿宋" w:hAnsi="仿宋" w:hint="eastAsia"/>
              </w:rPr>
              <w:t>大学</w:t>
            </w:r>
            <w:r>
              <w:rPr>
                <w:rFonts w:ascii="仿宋" w:eastAsia="仿宋" w:hAnsi="仿宋" w:hint="eastAsia"/>
              </w:rPr>
              <w:t>；主要贡献：项目主要完成人，</w:t>
            </w:r>
            <w:r w:rsidR="002D6ECF" w:rsidRPr="002D6ECF">
              <w:rPr>
                <w:rFonts w:ascii="仿宋" w:eastAsia="仿宋" w:hAnsi="仿宋" w:hint="eastAsia"/>
              </w:rPr>
              <w:t>对重要科学发现点3的具体论证实施做出了重要贡献，代表性论文3的合作者。投入本项目研究的工作量占本人工作量的30%。主要创新性研究工作为，发现了地表建筑物阻挡效应对水流分布扩散机制与地铁车站浸水规律，开发了从定性到定量、从整体到局部的地铁系统浸水灾害风险分析方法。</w:t>
            </w:r>
            <w:r w:rsidRPr="00C613EF">
              <w:rPr>
                <w:rFonts w:ascii="仿宋" w:eastAsia="仿宋" w:hAnsi="仿宋" w:hint="eastAsia"/>
              </w:rPr>
              <w:t>）</w:t>
            </w:r>
          </w:p>
        </w:tc>
      </w:tr>
      <w:tr w:rsidR="00060D9A" w:rsidTr="00060D9A">
        <w:trPr>
          <w:trHeight w:val="397"/>
          <w:jc w:val="center"/>
        </w:trPr>
        <w:tc>
          <w:tcPr>
            <w:tcW w:w="1615" w:type="dxa"/>
            <w:vMerge w:val="restart"/>
            <w:vAlign w:val="center"/>
          </w:tcPr>
          <w:p w:rsidR="00060D9A" w:rsidRDefault="00060D9A" w:rsidP="001B6C34">
            <w:pPr>
              <w:adjustRightInd w:val="0"/>
              <w:snapToGrid w:val="0"/>
              <w:jc w:val="center"/>
              <w:rPr>
                <w:rFonts w:ascii="仿宋" w:eastAsia="仿宋" w:hAnsi="仿宋"/>
                <w:b/>
                <w:bCs/>
              </w:rPr>
            </w:pPr>
            <w:r>
              <w:rPr>
                <w:rFonts w:ascii="仿宋" w:eastAsia="仿宋" w:hAnsi="仿宋" w:hint="eastAsia"/>
                <w:b/>
                <w:bCs/>
              </w:rPr>
              <w:t>代表性论文</w:t>
            </w:r>
          </w:p>
          <w:p w:rsidR="00060D9A" w:rsidRDefault="00060D9A" w:rsidP="001B6C34">
            <w:pPr>
              <w:adjustRightInd w:val="0"/>
              <w:snapToGrid w:val="0"/>
              <w:jc w:val="center"/>
              <w:rPr>
                <w:rFonts w:ascii="仿宋" w:eastAsia="仿宋" w:hAnsi="仿宋"/>
                <w:b/>
                <w:bCs/>
              </w:rPr>
            </w:pPr>
            <w:r>
              <w:rPr>
                <w:rFonts w:ascii="仿宋" w:eastAsia="仿宋" w:hAnsi="仿宋" w:hint="eastAsia"/>
                <w:b/>
                <w:bCs/>
              </w:rPr>
              <w:t>专著目录</w:t>
            </w:r>
          </w:p>
        </w:tc>
        <w:tc>
          <w:tcPr>
            <w:tcW w:w="7849" w:type="dxa"/>
            <w:vAlign w:val="center"/>
          </w:tcPr>
          <w:p w:rsidR="00060D9A" w:rsidRDefault="00060D9A" w:rsidP="00060D9A">
            <w:pPr>
              <w:adjustRightInd w:val="0"/>
              <w:snapToGrid w:val="0"/>
              <w:rPr>
                <w:rFonts w:ascii="仿宋" w:eastAsia="仿宋" w:hAnsi="仿宋"/>
              </w:rPr>
            </w:pPr>
            <w:r w:rsidRPr="000D0BB0">
              <w:rPr>
                <w:rFonts w:ascii="仿宋" w:eastAsia="仿宋" w:hAnsi="仿宋" w:hint="eastAsia"/>
              </w:rPr>
              <w:t>论文1：&lt;</w:t>
            </w:r>
            <w:r w:rsidRPr="00060D9A">
              <w:rPr>
                <w:rFonts w:ascii="仿宋" w:eastAsia="仿宋" w:hAnsi="仿宋"/>
              </w:rPr>
              <w:t>Flood risk assessment in metro systems of mega-cities using a GIS-based modeling approach</w:t>
            </w:r>
            <w:r w:rsidRPr="000D0BB0">
              <w:rPr>
                <w:rFonts w:ascii="仿宋" w:eastAsia="仿宋" w:hAnsi="仿宋" w:hint="eastAsia"/>
              </w:rPr>
              <w:t>；期刊：</w:t>
            </w:r>
            <w:r w:rsidRPr="00060D9A">
              <w:rPr>
                <w:rFonts w:ascii="仿宋" w:eastAsia="仿宋" w:hAnsi="仿宋"/>
              </w:rPr>
              <w:t>Science of the Total Environment</w:t>
            </w:r>
            <w:r w:rsidRPr="000D0BB0">
              <w:rPr>
                <w:rFonts w:ascii="仿宋" w:eastAsia="仿宋" w:hAnsi="仿宋" w:hint="eastAsia"/>
              </w:rPr>
              <w:t>；年卷：20</w:t>
            </w:r>
            <w:r>
              <w:rPr>
                <w:rFonts w:ascii="仿宋" w:eastAsia="仿宋" w:hAnsi="仿宋"/>
              </w:rPr>
              <w:t>18</w:t>
            </w:r>
            <w:r w:rsidRPr="000D0BB0">
              <w:rPr>
                <w:rFonts w:ascii="仿宋" w:eastAsia="仿宋" w:hAnsi="仿宋" w:hint="eastAsia"/>
              </w:rPr>
              <w:t>年</w:t>
            </w:r>
            <w:r>
              <w:rPr>
                <w:rFonts w:ascii="仿宋" w:eastAsia="仿宋" w:hAnsi="仿宋"/>
              </w:rPr>
              <w:t>626</w:t>
            </w:r>
            <w:r w:rsidRPr="000D0BB0">
              <w:rPr>
                <w:rFonts w:ascii="仿宋" w:eastAsia="仿宋" w:hAnsi="仿宋" w:hint="eastAsia"/>
              </w:rPr>
              <w:t>卷；第一作者：</w:t>
            </w:r>
            <w:r>
              <w:rPr>
                <w:rFonts w:ascii="仿宋" w:eastAsia="仿宋" w:hAnsi="仿宋" w:hint="eastAsia"/>
              </w:rPr>
              <w:t>吕海敏；通讯作者：沈水龙</w:t>
            </w:r>
            <w:r w:rsidRPr="000D0BB0">
              <w:rPr>
                <w:rFonts w:ascii="仿宋" w:eastAsia="仿宋" w:hAnsi="仿宋" w:hint="eastAsia"/>
              </w:rPr>
              <w:t>&gt;</w:t>
            </w:r>
          </w:p>
        </w:tc>
      </w:tr>
      <w:tr w:rsidR="00060D9A" w:rsidTr="00060D9A">
        <w:trPr>
          <w:trHeight w:val="397"/>
          <w:jc w:val="center"/>
        </w:trPr>
        <w:tc>
          <w:tcPr>
            <w:tcW w:w="1615" w:type="dxa"/>
            <w:vMerge/>
            <w:vAlign w:val="center"/>
          </w:tcPr>
          <w:p w:rsidR="00060D9A" w:rsidRDefault="00060D9A" w:rsidP="00060D9A">
            <w:pPr>
              <w:adjustRightInd w:val="0"/>
              <w:snapToGrid w:val="0"/>
              <w:jc w:val="center"/>
              <w:rPr>
                <w:rFonts w:ascii="仿宋" w:eastAsia="仿宋" w:hAnsi="仿宋"/>
                <w:b/>
                <w:bCs/>
              </w:rPr>
            </w:pPr>
          </w:p>
        </w:tc>
        <w:tc>
          <w:tcPr>
            <w:tcW w:w="7849" w:type="dxa"/>
            <w:vAlign w:val="center"/>
          </w:tcPr>
          <w:p w:rsidR="00060D9A" w:rsidRDefault="002D6ECF" w:rsidP="00060D9A">
            <w:pPr>
              <w:adjustRightInd w:val="0"/>
              <w:snapToGrid w:val="0"/>
              <w:rPr>
                <w:rFonts w:ascii="仿宋" w:eastAsia="仿宋" w:hAnsi="仿宋"/>
              </w:rPr>
            </w:pPr>
            <w:r w:rsidRPr="000D0BB0">
              <w:rPr>
                <w:rFonts w:ascii="仿宋" w:eastAsia="仿宋" w:hAnsi="仿宋" w:hint="eastAsia"/>
              </w:rPr>
              <w:t>论文</w:t>
            </w:r>
            <w:r>
              <w:rPr>
                <w:rFonts w:ascii="仿宋" w:eastAsia="仿宋" w:hAnsi="仿宋"/>
              </w:rPr>
              <w:t>3</w:t>
            </w:r>
            <w:r w:rsidRPr="000D0BB0">
              <w:rPr>
                <w:rFonts w:ascii="仿宋" w:eastAsia="仿宋" w:hAnsi="仿宋" w:hint="eastAsia"/>
              </w:rPr>
              <w:t>：&lt;</w:t>
            </w:r>
            <w:r w:rsidRPr="00060D9A">
              <w:rPr>
                <w:rFonts w:ascii="仿宋" w:eastAsia="仿宋" w:hAnsi="仿宋"/>
                <w:bCs/>
              </w:rPr>
              <w:t xml:space="preserve">Inundation analysis of metro systems with the storm water management model incorporated into a geographical information system: a </w:t>
            </w:r>
            <w:r w:rsidRPr="00060D9A">
              <w:rPr>
                <w:rFonts w:ascii="仿宋" w:eastAsia="仿宋" w:hAnsi="仿宋"/>
                <w:bCs/>
              </w:rPr>
              <w:lastRenderedPageBreak/>
              <w:t>case study in Shanghai</w:t>
            </w:r>
            <w:r w:rsidRPr="000D0BB0">
              <w:rPr>
                <w:rFonts w:ascii="仿宋" w:eastAsia="仿宋" w:hAnsi="仿宋" w:hint="eastAsia"/>
              </w:rPr>
              <w:t>；期刊：</w:t>
            </w:r>
            <w:r w:rsidRPr="00060D9A">
              <w:rPr>
                <w:rFonts w:ascii="仿宋" w:eastAsia="仿宋" w:hAnsi="仿宋"/>
                <w:bCs/>
              </w:rPr>
              <w:t>Hydrology and Earth System Sciences</w:t>
            </w:r>
            <w:r w:rsidRPr="000D0BB0">
              <w:rPr>
                <w:rFonts w:ascii="仿宋" w:eastAsia="仿宋" w:hAnsi="仿宋" w:hint="eastAsia"/>
              </w:rPr>
              <w:t>；年卷：20</w:t>
            </w:r>
            <w:r>
              <w:rPr>
                <w:rFonts w:ascii="仿宋" w:eastAsia="仿宋" w:hAnsi="仿宋"/>
              </w:rPr>
              <w:t>19</w:t>
            </w:r>
            <w:r w:rsidRPr="000D0BB0">
              <w:rPr>
                <w:rFonts w:ascii="仿宋" w:eastAsia="仿宋" w:hAnsi="仿宋" w:hint="eastAsia"/>
              </w:rPr>
              <w:t>年</w:t>
            </w:r>
            <w:r>
              <w:rPr>
                <w:rFonts w:ascii="仿宋" w:eastAsia="仿宋" w:hAnsi="仿宋" w:hint="eastAsia"/>
              </w:rPr>
              <w:t>2</w:t>
            </w:r>
            <w:r>
              <w:rPr>
                <w:rFonts w:ascii="仿宋" w:eastAsia="仿宋" w:hAnsi="仿宋"/>
              </w:rPr>
              <w:t>3</w:t>
            </w:r>
            <w:r w:rsidRPr="000D0BB0">
              <w:rPr>
                <w:rFonts w:ascii="仿宋" w:eastAsia="仿宋" w:hAnsi="仿宋" w:hint="eastAsia"/>
              </w:rPr>
              <w:t>卷；第一作者：</w:t>
            </w:r>
            <w:r>
              <w:rPr>
                <w:rFonts w:ascii="仿宋" w:eastAsia="仿宋" w:hAnsi="仿宋" w:hint="eastAsia"/>
              </w:rPr>
              <w:t>吕海敏；通讯作者：沈水龙</w:t>
            </w:r>
            <w:r w:rsidRPr="000D0BB0">
              <w:rPr>
                <w:rFonts w:ascii="仿宋" w:eastAsia="仿宋" w:hAnsi="仿宋" w:hint="eastAsia"/>
              </w:rPr>
              <w:t>&gt;</w:t>
            </w:r>
          </w:p>
        </w:tc>
      </w:tr>
      <w:tr w:rsidR="00060D9A" w:rsidTr="00060D9A">
        <w:trPr>
          <w:trHeight w:val="397"/>
          <w:jc w:val="center"/>
        </w:trPr>
        <w:tc>
          <w:tcPr>
            <w:tcW w:w="1615" w:type="dxa"/>
            <w:vMerge/>
            <w:vAlign w:val="center"/>
          </w:tcPr>
          <w:p w:rsidR="00060D9A" w:rsidRDefault="00060D9A" w:rsidP="00060D9A">
            <w:pPr>
              <w:adjustRightInd w:val="0"/>
              <w:snapToGrid w:val="0"/>
              <w:jc w:val="center"/>
              <w:rPr>
                <w:rFonts w:ascii="仿宋" w:eastAsia="仿宋" w:hAnsi="仿宋"/>
                <w:b/>
                <w:bCs/>
              </w:rPr>
            </w:pPr>
          </w:p>
        </w:tc>
        <w:tc>
          <w:tcPr>
            <w:tcW w:w="7849" w:type="dxa"/>
            <w:vAlign w:val="center"/>
          </w:tcPr>
          <w:p w:rsidR="00060D9A" w:rsidRDefault="00060D9A" w:rsidP="002D6ECF">
            <w:pPr>
              <w:adjustRightInd w:val="0"/>
              <w:snapToGrid w:val="0"/>
              <w:jc w:val="left"/>
              <w:rPr>
                <w:rFonts w:ascii="仿宋" w:eastAsia="仿宋" w:hAnsi="仿宋"/>
              </w:rPr>
            </w:pPr>
            <w:r w:rsidRPr="000D0BB0">
              <w:rPr>
                <w:rFonts w:ascii="仿宋" w:eastAsia="仿宋" w:hAnsi="仿宋" w:hint="eastAsia"/>
              </w:rPr>
              <w:t>论文</w:t>
            </w:r>
            <w:r>
              <w:rPr>
                <w:rFonts w:ascii="仿宋" w:eastAsia="仿宋" w:hAnsi="仿宋"/>
              </w:rPr>
              <w:t>3</w:t>
            </w:r>
            <w:r w:rsidRPr="000D0BB0">
              <w:rPr>
                <w:rFonts w:ascii="仿宋" w:eastAsia="仿宋" w:hAnsi="仿宋" w:hint="eastAsia"/>
              </w:rPr>
              <w:t>：&lt;</w:t>
            </w:r>
            <w:r w:rsidR="002D6ECF">
              <w:t xml:space="preserve"> </w:t>
            </w:r>
            <w:r w:rsidR="002D6ECF" w:rsidRPr="002D6ECF">
              <w:rPr>
                <w:rFonts w:ascii="仿宋" w:eastAsia="仿宋" w:hAnsi="仿宋"/>
                <w:bCs/>
              </w:rPr>
              <w:t>Inundation risk assessment of metro system using AHP and TFN-AHP in Shenzhen</w:t>
            </w:r>
            <w:r w:rsidRPr="000D0BB0">
              <w:rPr>
                <w:rFonts w:ascii="仿宋" w:eastAsia="仿宋" w:hAnsi="仿宋" w:hint="eastAsia"/>
              </w:rPr>
              <w:t>；期刊：</w:t>
            </w:r>
            <w:r w:rsidR="002D6ECF" w:rsidRPr="002D6ECF">
              <w:rPr>
                <w:rFonts w:ascii="仿宋" w:eastAsia="仿宋" w:hAnsi="仿宋"/>
                <w:bCs/>
              </w:rPr>
              <w:t>Sustainable Cities and Society</w:t>
            </w:r>
            <w:r w:rsidRPr="000D0BB0">
              <w:rPr>
                <w:rFonts w:ascii="仿宋" w:eastAsia="仿宋" w:hAnsi="仿宋" w:hint="eastAsia"/>
              </w:rPr>
              <w:t>；年卷：20</w:t>
            </w:r>
            <w:r w:rsidR="002D6ECF">
              <w:rPr>
                <w:rFonts w:ascii="仿宋" w:eastAsia="仿宋" w:hAnsi="仿宋"/>
              </w:rPr>
              <w:t>20</w:t>
            </w:r>
            <w:r w:rsidRPr="000D0BB0">
              <w:rPr>
                <w:rFonts w:ascii="仿宋" w:eastAsia="仿宋" w:hAnsi="仿宋" w:hint="eastAsia"/>
              </w:rPr>
              <w:t>年</w:t>
            </w:r>
            <w:r w:rsidR="002D6ECF">
              <w:rPr>
                <w:rFonts w:ascii="仿宋" w:eastAsia="仿宋" w:hAnsi="仿宋"/>
              </w:rPr>
              <w:t>56</w:t>
            </w:r>
            <w:r w:rsidRPr="000D0BB0">
              <w:rPr>
                <w:rFonts w:ascii="仿宋" w:eastAsia="仿宋" w:hAnsi="仿宋" w:hint="eastAsia"/>
              </w:rPr>
              <w:t>卷；第一作者：</w:t>
            </w:r>
            <w:r>
              <w:rPr>
                <w:rFonts w:ascii="仿宋" w:eastAsia="仿宋" w:hAnsi="仿宋" w:hint="eastAsia"/>
              </w:rPr>
              <w:t>吕海敏；通讯作者：沈水龙</w:t>
            </w:r>
            <w:r w:rsidRPr="000D0BB0">
              <w:rPr>
                <w:rFonts w:ascii="仿宋" w:eastAsia="仿宋" w:hAnsi="仿宋" w:hint="eastAsia"/>
              </w:rPr>
              <w:t>&gt;</w:t>
            </w:r>
          </w:p>
        </w:tc>
      </w:tr>
      <w:tr w:rsidR="00060D9A" w:rsidTr="00060D9A">
        <w:trPr>
          <w:trHeight w:val="397"/>
          <w:jc w:val="center"/>
        </w:trPr>
        <w:tc>
          <w:tcPr>
            <w:tcW w:w="1615" w:type="dxa"/>
            <w:vMerge/>
            <w:vAlign w:val="center"/>
          </w:tcPr>
          <w:p w:rsidR="00060D9A" w:rsidRDefault="00060D9A" w:rsidP="00060D9A">
            <w:pPr>
              <w:adjustRightInd w:val="0"/>
              <w:snapToGrid w:val="0"/>
              <w:jc w:val="center"/>
              <w:rPr>
                <w:rFonts w:ascii="仿宋" w:eastAsia="仿宋" w:hAnsi="仿宋"/>
                <w:b/>
                <w:bCs/>
              </w:rPr>
            </w:pPr>
          </w:p>
        </w:tc>
        <w:tc>
          <w:tcPr>
            <w:tcW w:w="7849" w:type="dxa"/>
            <w:vAlign w:val="center"/>
          </w:tcPr>
          <w:p w:rsidR="00060D9A" w:rsidRDefault="00060D9A" w:rsidP="00060D9A">
            <w:pPr>
              <w:adjustRightInd w:val="0"/>
              <w:snapToGrid w:val="0"/>
              <w:rPr>
                <w:rFonts w:ascii="仿宋" w:eastAsia="仿宋" w:hAnsi="仿宋"/>
              </w:rPr>
            </w:pPr>
            <w:r w:rsidRPr="000D0BB0">
              <w:rPr>
                <w:rFonts w:ascii="仿宋" w:eastAsia="仿宋" w:hAnsi="仿宋" w:hint="eastAsia"/>
              </w:rPr>
              <w:t>论文</w:t>
            </w:r>
            <w:r>
              <w:rPr>
                <w:rFonts w:ascii="仿宋" w:eastAsia="仿宋" w:hAnsi="仿宋" w:hint="eastAsia"/>
              </w:rPr>
              <w:t>4</w:t>
            </w:r>
            <w:r w:rsidRPr="000D0BB0">
              <w:rPr>
                <w:rFonts w:ascii="仿宋" w:eastAsia="仿宋" w:hAnsi="仿宋" w:hint="eastAsia"/>
              </w:rPr>
              <w:t>：&lt;</w:t>
            </w:r>
            <w:r w:rsidRPr="00060D9A">
              <w:rPr>
                <w:rFonts w:eastAsiaTheme="minorEastAsia"/>
                <w:sz w:val="18"/>
                <w:szCs w:val="18"/>
              </w:rPr>
              <w:t xml:space="preserve"> </w:t>
            </w:r>
            <w:r w:rsidRPr="00060D9A">
              <w:rPr>
                <w:rFonts w:ascii="仿宋" w:eastAsia="仿宋" w:hAnsi="仿宋"/>
                <w:bCs/>
              </w:rPr>
              <w:t>Risk assessment using a new consulting process in fuzzy AHP</w:t>
            </w:r>
            <w:r w:rsidRPr="000D0BB0">
              <w:rPr>
                <w:rFonts w:ascii="仿宋" w:eastAsia="仿宋" w:hAnsi="仿宋" w:hint="eastAsia"/>
              </w:rPr>
              <w:t>；期刊：</w:t>
            </w:r>
            <w:r w:rsidRPr="00060D9A">
              <w:rPr>
                <w:rFonts w:ascii="仿宋" w:eastAsia="仿宋" w:hAnsi="仿宋"/>
                <w:bCs/>
              </w:rPr>
              <w:t>Journal of Construction Engineering and Management</w:t>
            </w:r>
            <w:r w:rsidRPr="000D0BB0">
              <w:rPr>
                <w:rFonts w:ascii="仿宋" w:eastAsia="仿宋" w:hAnsi="仿宋" w:hint="eastAsia"/>
              </w:rPr>
              <w:t>；年卷：20</w:t>
            </w:r>
            <w:r>
              <w:rPr>
                <w:rFonts w:ascii="仿宋" w:eastAsia="仿宋" w:hAnsi="仿宋"/>
              </w:rPr>
              <w:t>20</w:t>
            </w:r>
            <w:r w:rsidRPr="000D0BB0">
              <w:rPr>
                <w:rFonts w:ascii="仿宋" w:eastAsia="仿宋" w:hAnsi="仿宋" w:hint="eastAsia"/>
              </w:rPr>
              <w:t>年</w:t>
            </w:r>
            <w:r>
              <w:rPr>
                <w:rFonts w:ascii="仿宋" w:eastAsia="仿宋" w:hAnsi="仿宋" w:hint="eastAsia"/>
              </w:rPr>
              <w:t>1</w:t>
            </w:r>
            <w:r>
              <w:rPr>
                <w:rFonts w:ascii="仿宋" w:eastAsia="仿宋" w:hAnsi="仿宋"/>
              </w:rPr>
              <w:t>4</w:t>
            </w:r>
            <w:r w:rsidRPr="000D0BB0">
              <w:rPr>
                <w:rFonts w:ascii="仿宋" w:eastAsia="仿宋" w:hAnsi="仿宋" w:hint="eastAsia"/>
              </w:rPr>
              <w:t>卷；第一作者：</w:t>
            </w:r>
            <w:r>
              <w:rPr>
                <w:rFonts w:ascii="仿宋" w:eastAsia="仿宋" w:hAnsi="仿宋" w:hint="eastAsia"/>
              </w:rPr>
              <w:t>吕海敏；通讯作者：沈水龙</w:t>
            </w:r>
            <w:r w:rsidRPr="000D0BB0">
              <w:rPr>
                <w:rFonts w:ascii="仿宋" w:eastAsia="仿宋" w:hAnsi="仿宋" w:hint="eastAsia"/>
              </w:rPr>
              <w:t>&gt;</w:t>
            </w:r>
          </w:p>
        </w:tc>
      </w:tr>
      <w:tr w:rsidR="00060D9A" w:rsidTr="00060D9A">
        <w:trPr>
          <w:trHeight w:val="397"/>
          <w:jc w:val="center"/>
        </w:trPr>
        <w:tc>
          <w:tcPr>
            <w:tcW w:w="1615" w:type="dxa"/>
            <w:vMerge/>
            <w:vAlign w:val="center"/>
          </w:tcPr>
          <w:p w:rsidR="00060D9A" w:rsidRDefault="00060D9A" w:rsidP="00060D9A">
            <w:pPr>
              <w:adjustRightInd w:val="0"/>
              <w:snapToGrid w:val="0"/>
              <w:jc w:val="center"/>
              <w:rPr>
                <w:rFonts w:ascii="仿宋" w:eastAsia="仿宋" w:hAnsi="仿宋"/>
                <w:b/>
                <w:bCs/>
              </w:rPr>
            </w:pPr>
          </w:p>
        </w:tc>
        <w:tc>
          <w:tcPr>
            <w:tcW w:w="7849" w:type="dxa"/>
            <w:vAlign w:val="center"/>
          </w:tcPr>
          <w:p w:rsidR="00060D9A" w:rsidRPr="000D0BB0" w:rsidRDefault="00060D9A" w:rsidP="002D6ECF">
            <w:pPr>
              <w:adjustRightInd w:val="0"/>
              <w:snapToGrid w:val="0"/>
              <w:rPr>
                <w:rFonts w:ascii="仿宋" w:eastAsia="仿宋" w:hAnsi="仿宋"/>
              </w:rPr>
            </w:pPr>
            <w:r w:rsidRPr="000D0BB0">
              <w:rPr>
                <w:rFonts w:ascii="仿宋" w:eastAsia="仿宋" w:hAnsi="仿宋" w:hint="eastAsia"/>
              </w:rPr>
              <w:t>论文</w:t>
            </w:r>
            <w:r>
              <w:rPr>
                <w:rFonts w:ascii="仿宋" w:eastAsia="仿宋" w:hAnsi="仿宋"/>
              </w:rPr>
              <w:t>5</w:t>
            </w:r>
            <w:r w:rsidRPr="000D0BB0">
              <w:rPr>
                <w:rFonts w:ascii="仿宋" w:eastAsia="仿宋" w:hAnsi="仿宋" w:hint="eastAsia"/>
              </w:rPr>
              <w:t>：&lt;</w:t>
            </w:r>
            <w:r w:rsidR="002D6ECF">
              <w:t xml:space="preserve"> </w:t>
            </w:r>
            <w:r w:rsidR="002D6ECF" w:rsidRPr="002D6ECF">
              <w:rPr>
                <w:rFonts w:ascii="仿宋" w:eastAsia="仿宋" w:hAnsi="仿宋"/>
                <w:bCs/>
              </w:rPr>
              <w:t>Calculation of groundwater head distribution with a close barrier during excavation dewatering in confined aquifer</w:t>
            </w:r>
            <w:r w:rsidRPr="000D0BB0">
              <w:rPr>
                <w:rFonts w:ascii="仿宋" w:eastAsia="仿宋" w:hAnsi="仿宋" w:hint="eastAsia"/>
              </w:rPr>
              <w:t>；期刊：</w:t>
            </w:r>
            <w:r w:rsidR="002D6ECF" w:rsidRPr="002D6ECF">
              <w:rPr>
                <w:rFonts w:ascii="仿宋" w:eastAsia="仿宋" w:hAnsi="仿宋"/>
                <w:bCs/>
              </w:rPr>
              <w:t>Geoscience Frontiers</w:t>
            </w:r>
            <w:r w:rsidRPr="00060D9A">
              <w:rPr>
                <w:rFonts w:ascii="仿宋" w:eastAsia="仿宋" w:hAnsi="仿宋"/>
                <w:bCs/>
              </w:rPr>
              <w:t>）</w:t>
            </w:r>
            <w:r w:rsidRPr="000D0BB0">
              <w:rPr>
                <w:rFonts w:ascii="仿宋" w:eastAsia="仿宋" w:hAnsi="仿宋" w:hint="eastAsia"/>
              </w:rPr>
              <w:t>；年卷：20</w:t>
            </w:r>
            <w:r w:rsidR="002D6ECF">
              <w:rPr>
                <w:rFonts w:ascii="仿宋" w:eastAsia="仿宋" w:hAnsi="仿宋"/>
              </w:rPr>
              <w:t>21</w:t>
            </w:r>
            <w:r w:rsidRPr="000D0BB0">
              <w:rPr>
                <w:rFonts w:ascii="仿宋" w:eastAsia="仿宋" w:hAnsi="仿宋" w:hint="eastAsia"/>
              </w:rPr>
              <w:t>年</w:t>
            </w:r>
            <w:r w:rsidR="002D6ECF">
              <w:rPr>
                <w:rFonts w:ascii="仿宋" w:eastAsia="仿宋" w:hAnsi="仿宋"/>
              </w:rPr>
              <w:t>12</w:t>
            </w:r>
            <w:r w:rsidRPr="000D0BB0">
              <w:rPr>
                <w:rFonts w:ascii="仿宋" w:eastAsia="仿宋" w:hAnsi="仿宋" w:hint="eastAsia"/>
              </w:rPr>
              <w:t>卷；第一作者：</w:t>
            </w:r>
            <w:r>
              <w:rPr>
                <w:rFonts w:ascii="仿宋" w:eastAsia="仿宋" w:hAnsi="仿宋" w:hint="eastAsia"/>
              </w:rPr>
              <w:t>吕海敏；通讯作者：沈水龙</w:t>
            </w:r>
            <w:r w:rsidRPr="000D0BB0">
              <w:rPr>
                <w:rFonts w:ascii="仿宋" w:eastAsia="仿宋" w:hAnsi="仿宋" w:hint="eastAsia"/>
              </w:rPr>
              <w:t>&gt;</w:t>
            </w:r>
          </w:p>
        </w:tc>
      </w:tr>
      <w:tr w:rsidR="00060D9A" w:rsidTr="00060D9A">
        <w:trPr>
          <w:trHeight w:val="397"/>
          <w:jc w:val="center"/>
        </w:trPr>
        <w:tc>
          <w:tcPr>
            <w:tcW w:w="1615" w:type="dxa"/>
            <w:vMerge w:val="restart"/>
            <w:vAlign w:val="center"/>
          </w:tcPr>
          <w:p w:rsidR="00060D9A" w:rsidRDefault="00060D9A" w:rsidP="00060D9A">
            <w:pPr>
              <w:adjustRightInd w:val="0"/>
              <w:snapToGrid w:val="0"/>
              <w:jc w:val="center"/>
              <w:rPr>
                <w:rFonts w:ascii="仿宋" w:eastAsia="仿宋" w:hAnsi="仿宋"/>
                <w:b/>
                <w:bCs/>
              </w:rPr>
            </w:pPr>
            <w:r>
              <w:rPr>
                <w:rFonts w:ascii="仿宋" w:eastAsia="仿宋" w:hAnsi="仿宋" w:hint="eastAsia"/>
                <w:b/>
                <w:bCs/>
              </w:rPr>
              <w:t>知识产权名称</w:t>
            </w:r>
          </w:p>
        </w:tc>
        <w:tc>
          <w:tcPr>
            <w:tcW w:w="7849" w:type="dxa"/>
            <w:vAlign w:val="center"/>
          </w:tcPr>
          <w:p w:rsidR="00060D9A" w:rsidRDefault="00060D9A" w:rsidP="00060D9A">
            <w:pPr>
              <w:adjustRightInd w:val="0"/>
              <w:snapToGrid w:val="0"/>
              <w:rPr>
                <w:rFonts w:ascii="仿宋" w:eastAsia="仿宋" w:hAnsi="仿宋"/>
              </w:rPr>
            </w:pPr>
          </w:p>
        </w:tc>
      </w:tr>
      <w:tr w:rsidR="00060D9A" w:rsidTr="00060D9A">
        <w:trPr>
          <w:trHeight w:val="397"/>
          <w:jc w:val="center"/>
        </w:trPr>
        <w:tc>
          <w:tcPr>
            <w:tcW w:w="1615" w:type="dxa"/>
            <w:vMerge/>
            <w:vAlign w:val="center"/>
          </w:tcPr>
          <w:p w:rsidR="00060D9A" w:rsidRDefault="00060D9A" w:rsidP="00060D9A">
            <w:pPr>
              <w:adjustRightInd w:val="0"/>
              <w:snapToGrid w:val="0"/>
              <w:jc w:val="center"/>
              <w:rPr>
                <w:rFonts w:ascii="仿宋" w:eastAsia="仿宋" w:hAnsi="仿宋"/>
                <w:b/>
                <w:bCs/>
              </w:rPr>
            </w:pPr>
          </w:p>
        </w:tc>
        <w:tc>
          <w:tcPr>
            <w:tcW w:w="7849" w:type="dxa"/>
            <w:vAlign w:val="center"/>
          </w:tcPr>
          <w:p w:rsidR="00060D9A" w:rsidRDefault="00060D9A" w:rsidP="00060D9A">
            <w:pPr>
              <w:adjustRightInd w:val="0"/>
              <w:snapToGrid w:val="0"/>
              <w:rPr>
                <w:rFonts w:ascii="仿宋" w:eastAsia="仿宋" w:hAnsi="仿宋"/>
              </w:rPr>
            </w:pPr>
          </w:p>
        </w:tc>
      </w:tr>
      <w:tr w:rsidR="00060D9A" w:rsidTr="00060D9A">
        <w:trPr>
          <w:trHeight w:val="397"/>
          <w:jc w:val="center"/>
        </w:trPr>
        <w:tc>
          <w:tcPr>
            <w:tcW w:w="1615" w:type="dxa"/>
            <w:vMerge/>
            <w:vAlign w:val="center"/>
          </w:tcPr>
          <w:p w:rsidR="00060D9A" w:rsidRDefault="00060D9A" w:rsidP="00060D9A">
            <w:pPr>
              <w:adjustRightInd w:val="0"/>
              <w:snapToGrid w:val="0"/>
              <w:jc w:val="center"/>
              <w:rPr>
                <w:rFonts w:ascii="仿宋" w:eastAsia="仿宋" w:hAnsi="仿宋"/>
                <w:b/>
                <w:bCs/>
              </w:rPr>
            </w:pPr>
          </w:p>
        </w:tc>
        <w:tc>
          <w:tcPr>
            <w:tcW w:w="7849" w:type="dxa"/>
            <w:vAlign w:val="center"/>
          </w:tcPr>
          <w:p w:rsidR="00060D9A" w:rsidRPr="00CA34A1" w:rsidRDefault="00060D9A" w:rsidP="00060D9A">
            <w:pPr>
              <w:adjustRightInd w:val="0"/>
              <w:snapToGrid w:val="0"/>
              <w:jc w:val="left"/>
              <w:rPr>
                <w:rFonts w:ascii="仿宋" w:eastAsia="仿宋" w:hAnsi="仿宋"/>
              </w:rPr>
            </w:pPr>
          </w:p>
        </w:tc>
      </w:tr>
      <w:tr w:rsidR="00060D9A" w:rsidTr="00060D9A">
        <w:trPr>
          <w:trHeight w:val="392"/>
          <w:jc w:val="center"/>
        </w:trPr>
        <w:tc>
          <w:tcPr>
            <w:tcW w:w="1615" w:type="dxa"/>
            <w:vMerge/>
            <w:vAlign w:val="center"/>
          </w:tcPr>
          <w:p w:rsidR="00060D9A" w:rsidRDefault="00060D9A" w:rsidP="00060D9A">
            <w:pPr>
              <w:adjustRightInd w:val="0"/>
              <w:snapToGrid w:val="0"/>
              <w:jc w:val="center"/>
              <w:rPr>
                <w:rFonts w:ascii="仿宋" w:eastAsia="仿宋" w:hAnsi="仿宋"/>
                <w:b/>
                <w:bCs/>
              </w:rPr>
            </w:pPr>
          </w:p>
        </w:tc>
        <w:tc>
          <w:tcPr>
            <w:tcW w:w="7849" w:type="dxa"/>
            <w:vAlign w:val="center"/>
          </w:tcPr>
          <w:p w:rsidR="00060D9A" w:rsidRDefault="00060D9A" w:rsidP="00060D9A">
            <w:pPr>
              <w:adjustRightInd w:val="0"/>
              <w:snapToGrid w:val="0"/>
              <w:jc w:val="left"/>
              <w:rPr>
                <w:rFonts w:ascii="仿宋" w:eastAsia="仿宋" w:hAnsi="仿宋"/>
              </w:rPr>
            </w:pPr>
            <w:r>
              <w:rPr>
                <w:rFonts w:ascii="仿宋" w:eastAsia="仿宋" w:hAnsi="仿宋" w:cs="宋体" w:hint="eastAsia"/>
              </w:rPr>
              <w:t>…</w:t>
            </w:r>
          </w:p>
        </w:tc>
      </w:tr>
    </w:tbl>
    <w:p w:rsidR="0077281F" w:rsidRPr="005423C4" w:rsidRDefault="0077281F" w:rsidP="005423C4"/>
    <w:sectPr w:rsidR="0077281F" w:rsidRPr="005423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47E" w:rsidRDefault="0029347E" w:rsidP="00CA34A1">
      <w:r>
        <w:separator/>
      </w:r>
    </w:p>
  </w:endnote>
  <w:endnote w:type="continuationSeparator" w:id="0">
    <w:p w:rsidR="0029347E" w:rsidRDefault="0029347E" w:rsidP="00CA3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47E" w:rsidRDefault="0029347E" w:rsidP="00CA34A1">
      <w:r>
        <w:separator/>
      </w:r>
    </w:p>
  </w:footnote>
  <w:footnote w:type="continuationSeparator" w:id="0">
    <w:p w:rsidR="0029347E" w:rsidRDefault="0029347E" w:rsidP="00CA34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3C4"/>
    <w:rsid w:val="00060D9A"/>
    <w:rsid w:val="001331C1"/>
    <w:rsid w:val="0029347E"/>
    <w:rsid w:val="002D6ECF"/>
    <w:rsid w:val="00434281"/>
    <w:rsid w:val="005423C4"/>
    <w:rsid w:val="0077281F"/>
    <w:rsid w:val="007940BD"/>
    <w:rsid w:val="00C17E01"/>
    <w:rsid w:val="00CA34A1"/>
    <w:rsid w:val="00DC54EA"/>
    <w:rsid w:val="00F6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4C9B71-90A5-4069-BB8B-C63A5026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3C4"/>
    <w:pPr>
      <w:widowControl w:val="0"/>
      <w:jc w:val="both"/>
    </w:pPr>
    <w:rPr>
      <w:rFonts w:ascii="Times New Roman" w:eastAsia="宋体" w:hAnsi="Times New Roman" w:cs="Times New Roman"/>
      <w:szCs w:val="24"/>
    </w:rPr>
  </w:style>
  <w:style w:type="paragraph" w:styleId="1">
    <w:name w:val="heading 1"/>
    <w:basedOn w:val="a"/>
    <w:next w:val="a"/>
    <w:link w:val="10"/>
    <w:qFormat/>
    <w:rsid w:val="005423C4"/>
    <w:pPr>
      <w:keepNext/>
      <w:jc w:val="center"/>
      <w:outlineLvl w:val="0"/>
    </w:pPr>
    <w:rPr>
      <w:rFonts w:ascii="仿宋_GB2312" w:eastAsia="仿宋_GB2312"/>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5423C4"/>
    <w:rPr>
      <w:rFonts w:ascii="仿宋_GB2312" w:eastAsia="仿宋_GB2312" w:hAnsi="Times New Roman" w:cs="Times New Roman"/>
      <w:kern w:val="0"/>
      <w:sz w:val="28"/>
      <w:szCs w:val="20"/>
    </w:rPr>
  </w:style>
  <w:style w:type="paragraph" w:styleId="a3">
    <w:name w:val="header"/>
    <w:basedOn w:val="a"/>
    <w:link w:val="a4"/>
    <w:uiPriority w:val="99"/>
    <w:unhideWhenUsed/>
    <w:rsid w:val="00CA34A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A34A1"/>
    <w:rPr>
      <w:rFonts w:ascii="Times New Roman" w:eastAsia="宋体" w:hAnsi="Times New Roman" w:cs="Times New Roman"/>
      <w:sz w:val="18"/>
      <w:szCs w:val="18"/>
    </w:rPr>
  </w:style>
  <w:style w:type="paragraph" w:styleId="a5">
    <w:name w:val="footer"/>
    <w:basedOn w:val="a"/>
    <w:link w:val="a6"/>
    <w:uiPriority w:val="99"/>
    <w:unhideWhenUsed/>
    <w:rsid w:val="00CA34A1"/>
    <w:pPr>
      <w:tabs>
        <w:tab w:val="center" w:pos="4153"/>
        <w:tab w:val="right" w:pos="8306"/>
      </w:tabs>
      <w:snapToGrid w:val="0"/>
      <w:jc w:val="left"/>
    </w:pPr>
    <w:rPr>
      <w:sz w:val="18"/>
      <w:szCs w:val="18"/>
    </w:rPr>
  </w:style>
  <w:style w:type="character" w:customStyle="1" w:styleId="a6">
    <w:name w:val="页脚 字符"/>
    <w:basedOn w:val="a0"/>
    <w:link w:val="a5"/>
    <w:uiPriority w:val="99"/>
    <w:rsid w:val="00CA34A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 Haimin</dc:creator>
  <cp:keywords/>
  <dc:description/>
  <cp:lastModifiedBy>Lyu Haimin</cp:lastModifiedBy>
  <cp:revision>3</cp:revision>
  <dcterms:created xsi:type="dcterms:W3CDTF">2022-10-08T03:54:00Z</dcterms:created>
  <dcterms:modified xsi:type="dcterms:W3CDTF">2023-10-31T09:22:00Z</dcterms:modified>
</cp:coreProperties>
</file>