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t>天津市科学技术进步奖提名书</w:t>
      </w:r>
    </w:p>
    <w:p>
      <w:pPr>
        <w:tabs>
          <w:tab w:val="left" w:pos="705"/>
        </w:tabs>
        <w:spacing w:line="58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 2023 年度）</w:t>
      </w:r>
    </w:p>
    <w:p>
      <w:pPr>
        <w:spacing w:before="312" w:beforeLines="100" w:after="156" w:afterLines="50" w:line="400" w:lineRule="exact"/>
        <w:jc w:val="center"/>
        <w:outlineLvl w:val="0"/>
        <w:rPr>
          <w:rFonts w:eastAsia="黑体"/>
          <w:sz w:val="32"/>
        </w:rPr>
      </w:pPr>
      <w:r>
        <w:rPr>
          <w:rFonts w:hint="eastAsia" w:eastAsia="黑体"/>
          <w:sz w:val="32"/>
        </w:rPr>
        <w:t>一、项目基本情况</w:t>
      </w:r>
    </w:p>
    <w:p>
      <w:pPr>
        <w:spacing w:line="460" w:lineRule="exact"/>
        <w:ind w:left="-708" w:leftChars="-337"/>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提名等级： 一等奖                 类别： 开发类           成果登记号： </w:t>
      </w:r>
    </w:p>
    <w:tbl>
      <w:tblPr>
        <w:tblStyle w:val="19"/>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02"/>
        <w:gridCol w:w="3370"/>
        <w:gridCol w:w="37"/>
        <w:gridCol w:w="1696"/>
        <w:gridCol w:w="2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78"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项目</w:t>
            </w:r>
          </w:p>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名称</w:t>
            </w:r>
          </w:p>
        </w:tc>
        <w:tc>
          <w:tcPr>
            <w:tcW w:w="70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中文</w:t>
            </w:r>
          </w:p>
        </w:tc>
        <w:tc>
          <w:tcPr>
            <w:tcW w:w="7813"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1500米级超深水油气田全海式开发关键工程技术及应用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27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asciiTheme="minorEastAsia" w:hAnsiTheme="minorEastAsia" w:eastAsiaTheme="minorEastAsia" w:cstheme="minorEastAsia"/>
                <w:kern w:val="0"/>
                <w:sz w:val="24"/>
              </w:rPr>
            </w:pPr>
          </w:p>
        </w:tc>
        <w:tc>
          <w:tcPr>
            <w:tcW w:w="70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英文</w:t>
            </w:r>
          </w:p>
        </w:tc>
        <w:tc>
          <w:tcPr>
            <w:tcW w:w="7813"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r>
              <w:rPr>
                <w:rFonts w:asciiTheme="minorEastAsia" w:hAnsiTheme="minorEastAsia" w:eastAsiaTheme="minorEastAsia" w:cstheme="minorEastAsia"/>
                <w:kern w:val="0"/>
                <w:sz w:val="24"/>
              </w:rPr>
              <w:t xml:space="preserve">Key </w:t>
            </w:r>
            <w:r>
              <w:rPr>
                <w:rFonts w:hint="eastAsia" w:asciiTheme="minorEastAsia" w:hAnsiTheme="minorEastAsia" w:eastAsiaTheme="minorEastAsia" w:cstheme="minorEastAsia"/>
                <w:kern w:val="0"/>
                <w:sz w:val="24"/>
              </w:rPr>
              <w:t>E</w:t>
            </w:r>
            <w:r>
              <w:rPr>
                <w:rFonts w:asciiTheme="minorEastAsia" w:hAnsiTheme="minorEastAsia" w:eastAsiaTheme="minorEastAsia" w:cstheme="minorEastAsia"/>
                <w:kern w:val="0"/>
                <w:sz w:val="24"/>
              </w:rPr>
              <w:t xml:space="preserve">ngineering </w:t>
            </w:r>
            <w:r>
              <w:rPr>
                <w:rFonts w:hint="eastAsia" w:asciiTheme="minorEastAsia" w:hAnsiTheme="minorEastAsia" w:eastAsiaTheme="minorEastAsia" w:cstheme="minorEastAsia"/>
                <w:kern w:val="0"/>
                <w:sz w:val="24"/>
              </w:rPr>
              <w:t>T</w:t>
            </w:r>
            <w:r>
              <w:rPr>
                <w:rFonts w:asciiTheme="minorEastAsia" w:hAnsiTheme="minorEastAsia" w:eastAsiaTheme="minorEastAsia" w:cstheme="minorEastAsia"/>
                <w:kern w:val="0"/>
                <w:sz w:val="24"/>
              </w:rPr>
              <w:t xml:space="preserve">echnologies and </w:t>
            </w:r>
            <w:r>
              <w:rPr>
                <w:rFonts w:hint="eastAsia" w:asciiTheme="minorEastAsia" w:hAnsiTheme="minorEastAsia" w:eastAsiaTheme="minorEastAsia" w:cstheme="minorEastAsia"/>
                <w:kern w:val="0"/>
                <w:sz w:val="24"/>
              </w:rPr>
              <w:t>A</w:t>
            </w:r>
            <w:r>
              <w:rPr>
                <w:rFonts w:asciiTheme="minorEastAsia" w:hAnsiTheme="minorEastAsia" w:eastAsiaTheme="minorEastAsia" w:cstheme="minorEastAsia"/>
                <w:kern w:val="0"/>
                <w:sz w:val="24"/>
              </w:rPr>
              <w:t xml:space="preserve">pplications for the </w:t>
            </w:r>
            <w:r>
              <w:rPr>
                <w:rFonts w:hint="eastAsia" w:asciiTheme="minorEastAsia" w:hAnsiTheme="minorEastAsia" w:eastAsiaTheme="minorEastAsia" w:cstheme="minorEastAsia"/>
                <w:kern w:val="0"/>
                <w:sz w:val="24"/>
              </w:rPr>
              <w:t>F</w:t>
            </w:r>
            <w:r>
              <w:rPr>
                <w:rFonts w:asciiTheme="minorEastAsia" w:hAnsiTheme="minorEastAsia" w:eastAsiaTheme="minorEastAsia" w:cstheme="minorEastAsia"/>
                <w:kern w:val="0"/>
                <w:sz w:val="24"/>
              </w:rPr>
              <w:t xml:space="preserve">ull </w:t>
            </w:r>
            <w:r>
              <w:rPr>
                <w:rFonts w:hint="eastAsia" w:asciiTheme="minorEastAsia" w:hAnsiTheme="minorEastAsia" w:eastAsiaTheme="minorEastAsia" w:cstheme="minorEastAsia"/>
                <w:kern w:val="0"/>
                <w:sz w:val="24"/>
              </w:rPr>
              <w:t>S</w:t>
            </w:r>
            <w:r>
              <w:rPr>
                <w:rFonts w:asciiTheme="minorEastAsia" w:hAnsiTheme="minorEastAsia" w:eastAsiaTheme="minorEastAsia" w:cstheme="minorEastAsia"/>
                <w:kern w:val="0"/>
                <w:sz w:val="24"/>
              </w:rPr>
              <w:t xml:space="preserve">ea </w:t>
            </w:r>
            <w:r>
              <w:rPr>
                <w:rFonts w:hint="eastAsia" w:asciiTheme="minorEastAsia" w:hAnsiTheme="minorEastAsia" w:eastAsiaTheme="minorEastAsia" w:cstheme="minorEastAsia"/>
                <w:kern w:val="0"/>
                <w:sz w:val="24"/>
              </w:rPr>
              <w:t>D</w:t>
            </w:r>
            <w:r>
              <w:rPr>
                <w:rFonts w:asciiTheme="minorEastAsia" w:hAnsiTheme="minorEastAsia" w:eastAsiaTheme="minorEastAsia" w:cstheme="minorEastAsia"/>
                <w:kern w:val="0"/>
                <w:sz w:val="24"/>
              </w:rPr>
              <w:t xml:space="preserve">evelopment of 1500 </w:t>
            </w:r>
            <w:r>
              <w:rPr>
                <w:rFonts w:hint="eastAsia" w:asciiTheme="minorEastAsia" w:hAnsiTheme="minorEastAsia" w:eastAsiaTheme="minorEastAsia" w:cstheme="minorEastAsia"/>
                <w:kern w:val="0"/>
                <w:sz w:val="24"/>
              </w:rPr>
              <w:t>M</w:t>
            </w:r>
            <w:r>
              <w:rPr>
                <w:rFonts w:asciiTheme="minorEastAsia" w:hAnsiTheme="minorEastAsia" w:eastAsiaTheme="minorEastAsia" w:cstheme="minorEastAsia"/>
                <w:kern w:val="0"/>
                <w:sz w:val="24"/>
              </w:rPr>
              <w:t xml:space="preserve">eter </w:t>
            </w:r>
            <w:r>
              <w:rPr>
                <w:rFonts w:hint="eastAsia" w:asciiTheme="minorEastAsia" w:hAnsiTheme="minorEastAsia" w:eastAsiaTheme="minorEastAsia" w:cstheme="minorEastAsia"/>
                <w:kern w:val="0"/>
                <w:sz w:val="24"/>
              </w:rPr>
              <w:t>L</w:t>
            </w:r>
            <w:r>
              <w:rPr>
                <w:rFonts w:asciiTheme="minorEastAsia" w:hAnsiTheme="minorEastAsia" w:eastAsiaTheme="minorEastAsia" w:cstheme="minorEastAsia"/>
                <w:kern w:val="0"/>
                <w:sz w:val="24"/>
              </w:rPr>
              <w:t xml:space="preserve">evel </w:t>
            </w:r>
            <w:r>
              <w:rPr>
                <w:rFonts w:hint="eastAsia" w:asciiTheme="minorEastAsia" w:hAnsiTheme="minorEastAsia" w:eastAsiaTheme="minorEastAsia" w:cstheme="minorEastAsia"/>
                <w:kern w:val="0"/>
                <w:sz w:val="24"/>
              </w:rPr>
              <w:t>U</w:t>
            </w:r>
            <w:r>
              <w:rPr>
                <w:rFonts w:asciiTheme="minorEastAsia" w:hAnsiTheme="minorEastAsia" w:eastAsiaTheme="minorEastAsia" w:cstheme="minorEastAsia"/>
                <w:kern w:val="0"/>
                <w:sz w:val="24"/>
              </w:rPr>
              <w:t xml:space="preserve">ltra </w:t>
            </w:r>
            <w:r>
              <w:rPr>
                <w:rFonts w:hint="eastAsia" w:asciiTheme="minorEastAsia" w:hAnsiTheme="minorEastAsia" w:eastAsiaTheme="minorEastAsia" w:cstheme="minorEastAsia"/>
                <w:kern w:val="0"/>
                <w:sz w:val="24"/>
              </w:rPr>
              <w:t>D</w:t>
            </w:r>
            <w:r>
              <w:rPr>
                <w:rFonts w:asciiTheme="minorEastAsia" w:hAnsiTheme="minorEastAsia" w:eastAsiaTheme="minorEastAsia" w:cstheme="minorEastAsia"/>
                <w:kern w:val="0"/>
                <w:sz w:val="24"/>
              </w:rPr>
              <w:t xml:space="preserve">eepwater </w:t>
            </w:r>
            <w:r>
              <w:rPr>
                <w:rFonts w:hint="eastAsia" w:asciiTheme="minorEastAsia" w:hAnsiTheme="minorEastAsia" w:eastAsiaTheme="minorEastAsia" w:cstheme="minorEastAsia"/>
                <w:kern w:val="0"/>
                <w:sz w:val="24"/>
              </w:rPr>
              <w:t>O</w:t>
            </w:r>
            <w:r>
              <w:rPr>
                <w:rFonts w:asciiTheme="minorEastAsia" w:hAnsiTheme="minorEastAsia" w:eastAsiaTheme="minorEastAsia" w:cstheme="minorEastAsia"/>
                <w:kern w:val="0"/>
                <w:sz w:val="24"/>
              </w:rPr>
              <w:t xml:space="preserve">il and </w:t>
            </w:r>
            <w:r>
              <w:rPr>
                <w:rFonts w:hint="eastAsia" w:asciiTheme="minorEastAsia" w:hAnsiTheme="minorEastAsia" w:eastAsiaTheme="minorEastAsia" w:cstheme="minorEastAsia"/>
                <w:kern w:val="0"/>
                <w:sz w:val="24"/>
              </w:rPr>
              <w:t>G</w:t>
            </w:r>
            <w:r>
              <w:rPr>
                <w:rFonts w:asciiTheme="minorEastAsia" w:hAnsiTheme="minorEastAsia" w:eastAsiaTheme="minorEastAsia" w:cstheme="minorEastAsia"/>
                <w:kern w:val="0"/>
                <w:sz w:val="24"/>
              </w:rPr>
              <w:t xml:space="preserve">as </w:t>
            </w:r>
            <w:r>
              <w:rPr>
                <w:rFonts w:hint="eastAsia" w:asciiTheme="minorEastAsia" w:hAnsiTheme="minorEastAsia" w:eastAsiaTheme="minorEastAsia" w:cstheme="minorEastAsia"/>
                <w:kern w:val="0"/>
                <w:sz w:val="24"/>
              </w:rPr>
              <w:t>F</w:t>
            </w:r>
            <w:r>
              <w:rPr>
                <w:rFonts w:asciiTheme="minorEastAsia" w:hAnsiTheme="minorEastAsia" w:eastAsiaTheme="minorEastAsia" w:cstheme="minorEastAsia"/>
                <w:kern w:val="0"/>
                <w:sz w:val="24"/>
              </w:rPr>
              <w:t>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主要完成人</w:t>
            </w:r>
          </w:p>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（按贡献排序）</w:t>
            </w:r>
          </w:p>
        </w:tc>
        <w:tc>
          <w:tcPr>
            <w:tcW w:w="7813"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蔡元浪、王会峰、何  宁、矫  健、杨小龙、梅华东、王  辉、李  刚、张  凯、张守森、卢文月、梁园华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主要完成单位</w:t>
            </w:r>
          </w:p>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（按贡献排序）</w:t>
            </w:r>
          </w:p>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（盖章）</w:t>
            </w:r>
          </w:p>
        </w:tc>
        <w:tc>
          <w:tcPr>
            <w:tcW w:w="7813"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海洋石油工程股份有限公司、上海交通大学、中国船级社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提名者</w:t>
            </w:r>
          </w:p>
        </w:tc>
        <w:tc>
          <w:tcPr>
            <w:tcW w:w="7813"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海洋石油工程股份有限公司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主题词</w:t>
            </w:r>
          </w:p>
        </w:tc>
        <w:tc>
          <w:tcPr>
            <w:tcW w:w="7813"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 xml:space="preserve">1500米超深水油气田 半潜式生产储卸油平台 钢悬链立管 水下回接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学科分组</w:t>
            </w:r>
          </w:p>
        </w:tc>
        <w:tc>
          <w:tcPr>
            <w:tcW w:w="33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r>
              <w:rPr>
                <w:rFonts w:hint="eastAsia"/>
                <w:szCs w:val="24"/>
              </w:rPr>
              <w:t>国土资源与利用</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学科名称</w:t>
            </w:r>
          </w:p>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及代码</w:t>
            </w:r>
          </w:p>
        </w:tc>
        <w:tc>
          <w:tcPr>
            <w:tcW w:w="271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44050油气田井开采工程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相关学科</w:t>
            </w:r>
          </w:p>
        </w:tc>
        <w:tc>
          <w:tcPr>
            <w:tcW w:w="337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p>
        </w:tc>
        <w:tc>
          <w:tcPr>
            <w:tcW w:w="1733"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学科名称</w:t>
            </w:r>
          </w:p>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及代码</w:t>
            </w:r>
          </w:p>
        </w:tc>
        <w:tc>
          <w:tcPr>
            <w:tcW w:w="271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 xml:space="preserve">所涉重点领域 </w:t>
            </w:r>
          </w:p>
        </w:tc>
        <w:tc>
          <w:tcPr>
            <w:tcW w:w="7813"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所属科学技术领域</w:t>
            </w:r>
          </w:p>
        </w:tc>
        <w:tc>
          <w:tcPr>
            <w:tcW w:w="34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海洋石油工程</w:t>
            </w:r>
          </w:p>
        </w:tc>
        <w:tc>
          <w:tcPr>
            <w:tcW w:w="16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所属国民经济行业</w:t>
            </w:r>
          </w:p>
        </w:tc>
        <w:tc>
          <w:tcPr>
            <w:tcW w:w="271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采矿业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793" w:type="dxa"/>
            <w:gridSpan w:val="6"/>
            <w:tcBorders>
              <w:top w:val="single" w:color="auto" w:sz="4" w:space="0"/>
              <w:left w:val="single" w:color="auto" w:sz="4" w:space="0"/>
              <w:bottom w:val="nil"/>
              <w:right w:val="single" w:color="auto" w:sz="4" w:space="0"/>
            </w:tcBorders>
            <w:vAlign w:val="center"/>
          </w:tcPr>
          <w:p>
            <w:pPr>
              <w:spacing w:line="360" w:lineRule="exact"/>
              <w:ind w:firstLine="240" w:firstLineChars="1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任务来源：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9793" w:type="dxa"/>
            <w:gridSpan w:val="6"/>
            <w:tcBorders>
              <w:top w:val="nil"/>
              <w:left w:val="single" w:color="auto" w:sz="4" w:space="0"/>
              <w:right w:val="single" w:color="auto" w:sz="4" w:space="0"/>
            </w:tcBorders>
          </w:tcPr>
          <w:p>
            <w:pPr>
              <w:spacing w:before="120" w:line="240" w:lineRule="exact"/>
              <w:rPr>
                <w:rFonts w:asciiTheme="minorEastAsia" w:hAnsiTheme="minorEastAsia" w:eastAsiaTheme="minorEastAsia" w:cstheme="minorEastAsia"/>
                <w:kern w:val="0"/>
                <w:sz w:val="24"/>
              </w:rPr>
            </w:pPr>
            <w:r>
              <w:rPr>
                <w:rFonts w:asciiTheme="minorEastAsia" w:hAnsiTheme="minorEastAsia" w:eastAsiaTheme="minorEastAsia" w:cstheme="minorEastAsia"/>
                <w:kern w:val="0"/>
                <w:sz w:val="24"/>
              </w:rPr>
              <w:t>(1)国家及部委级计划/基金项目：中华人们共和国科学技术部，国家科技重大专项，2011ZX05027-002，深水铺管起重船及配套工程技术（2011-2015）</w:t>
            </w:r>
          </w:p>
          <w:p>
            <w:pPr>
              <w:spacing w:before="120" w:line="240" w:lineRule="exact"/>
              <w:rPr>
                <w:rFonts w:asciiTheme="minorEastAsia" w:hAnsiTheme="minorEastAsia" w:eastAsiaTheme="minorEastAsia" w:cstheme="minorEastAsia"/>
                <w:kern w:val="0"/>
                <w:sz w:val="24"/>
              </w:rPr>
            </w:pPr>
            <w:r>
              <w:rPr>
                <w:rFonts w:asciiTheme="minorEastAsia" w:hAnsiTheme="minorEastAsia" w:eastAsiaTheme="minorEastAsia" w:cstheme="minorEastAsia"/>
                <w:kern w:val="0"/>
                <w:sz w:val="24"/>
              </w:rPr>
              <w:t>(2)国家及部委级计划/基金项目：中华人们共和国科学技术部，国家科技重大专项，2016ZX05028-007，深水半潜式起重铺管船及配套工程技术（2016.01.01-2020.12.31）</w:t>
            </w:r>
          </w:p>
          <w:p>
            <w:pPr>
              <w:spacing w:before="120" w:line="240" w:lineRule="exact"/>
              <w:rPr>
                <w:rFonts w:asciiTheme="minorEastAsia" w:hAnsiTheme="minorEastAsia" w:eastAsiaTheme="minorEastAsia" w:cstheme="minorEastAsia"/>
                <w:kern w:val="0"/>
                <w:sz w:val="24"/>
              </w:rPr>
            </w:pPr>
            <w:r>
              <w:rPr>
                <w:rFonts w:asciiTheme="minorEastAsia" w:hAnsiTheme="minorEastAsia" w:eastAsiaTheme="minorEastAsia" w:cstheme="minorEastAsia"/>
                <w:kern w:val="0"/>
                <w:sz w:val="24"/>
              </w:rPr>
              <w:t>(3)国家及部委级计划/基金项目：中华人们共和国科学技术部，国家高技术研究发展计划（863计划），2006AA09A105，深水海底管道铺设技术（2006.01.01-2010.12.31）</w:t>
            </w:r>
          </w:p>
          <w:p>
            <w:pPr>
              <w:spacing w:before="120" w:line="240" w:lineRule="exact"/>
              <w:rPr>
                <w:rFonts w:asciiTheme="minorEastAsia" w:hAnsiTheme="minorEastAsia" w:eastAsiaTheme="minorEastAsia" w:cstheme="minorEastAsia"/>
                <w:kern w:val="0"/>
                <w:sz w:val="24"/>
              </w:rPr>
            </w:pPr>
            <w:r>
              <w:rPr>
                <w:rFonts w:asciiTheme="minorEastAsia" w:hAnsiTheme="minorEastAsia" w:eastAsiaTheme="minorEastAsia" w:cstheme="minorEastAsia"/>
                <w:kern w:val="0"/>
                <w:sz w:val="24"/>
              </w:rPr>
              <w:t>(4)国家及部委级计划/基金项目：中华人们共和国科学技术部，国家科技重大专项，2011ZX05056-003，南海北部陆坡（荔湾3-1及周边）深水油气田工程设计、建造、安装（2011.01-2015.08）</w:t>
            </w:r>
          </w:p>
          <w:p>
            <w:pPr>
              <w:spacing w:before="120" w:line="240" w:lineRule="exact"/>
              <w:rPr>
                <w:rFonts w:asciiTheme="minorEastAsia" w:hAnsiTheme="minorEastAsia" w:eastAsiaTheme="minorEastAsia" w:cstheme="minorEastAsia"/>
                <w:kern w:val="0"/>
                <w:sz w:val="24"/>
                <w:highlight w:val="yellow"/>
              </w:rPr>
            </w:pPr>
            <w:r>
              <w:rPr>
                <w:rFonts w:asciiTheme="minorEastAsia" w:hAnsiTheme="minorEastAsia" w:eastAsiaTheme="minorEastAsia" w:cstheme="minorEastAsia"/>
                <w:kern w:val="0"/>
                <w:sz w:val="24"/>
              </w:rPr>
              <w:t>(5)国家工信部</w:t>
            </w:r>
            <w:r>
              <w:rPr>
                <w:rFonts w:hint="eastAsia" w:asciiTheme="minorEastAsia" w:hAnsiTheme="minorEastAsia" w:eastAsiaTheme="minorEastAsia" w:cstheme="minorEastAsia"/>
                <w:kern w:val="0"/>
                <w:sz w:val="24"/>
              </w:rPr>
              <w:t>海洋工程装备科研</w:t>
            </w:r>
            <w:r>
              <w:rPr>
                <w:rFonts w:asciiTheme="minorEastAsia" w:hAnsiTheme="minorEastAsia" w:eastAsiaTheme="minorEastAsia" w:cstheme="minorEastAsia"/>
                <w:kern w:val="0"/>
                <w:sz w:val="24"/>
              </w:rPr>
              <w:t>项目：水下生产系统设计及关键设备研发</w:t>
            </w:r>
            <w:r>
              <w:rPr>
                <w:rFonts w:hint="eastAsia" w:asciiTheme="minorEastAsia" w:hAnsiTheme="minorEastAsia" w:eastAsiaTheme="minorEastAsia" w:cstheme="minorEastAsia"/>
                <w:kern w:val="0"/>
                <w:sz w:val="24"/>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项目起止时间</w:t>
            </w:r>
          </w:p>
        </w:tc>
        <w:tc>
          <w:tcPr>
            <w:tcW w:w="3407"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2011.1至2020.12</w:t>
            </w:r>
          </w:p>
        </w:tc>
        <w:tc>
          <w:tcPr>
            <w:tcW w:w="16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外籍完成人</w:t>
            </w:r>
          </w:p>
        </w:tc>
        <w:tc>
          <w:tcPr>
            <w:tcW w:w="27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cstheme="minorEastAsia"/>
                <w:kern w:val="0"/>
                <w:sz w:val="24"/>
              </w:rPr>
            </w:pPr>
          </w:p>
        </w:tc>
      </w:tr>
    </w:tbl>
    <w:p>
      <w:pPr>
        <w:spacing w:line="600" w:lineRule="exact"/>
        <w:jc w:val="right"/>
        <w:rPr>
          <w:sz w:val="24"/>
        </w:rPr>
      </w:pPr>
      <w:r>
        <w:rPr>
          <w:rFonts w:hint="eastAsia"/>
          <w:sz w:val="24"/>
        </w:rPr>
        <w:t>天津市科学技术局制</w:t>
      </w:r>
    </w:p>
    <w:p>
      <w:pPr>
        <w:spacing w:after="312" w:afterLines="100" w:line="400" w:lineRule="exact"/>
        <w:jc w:val="center"/>
        <w:outlineLvl w:val="0"/>
        <w:rPr>
          <w:rFonts w:eastAsia="黑体"/>
          <w:sz w:val="32"/>
        </w:rPr>
      </w:pPr>
      <w:r>
        <w:rPr>
          <w:rFonts w:eastAsia="黑体"/>
          <w:sz w:val="32"/>
        </w:rPr>
        <w:br w:type="page"/>
      </w:r>
      <w:r>
        <w:rPr>
          <w:rFonts w:hint="eastAsia" w:eastAsia="黑体"/>
          <w:sz w:val="32"/>
        </w:rPr>
        <w:t>二、项目简介 1000</w:t>
      </w:r>
    </w:p>
    <w:p>
      <w:pPr>
        <w:widowControl/>
        <w:spacing w:line="440" w:lineRule="exact"/>
        <w:ind w:firstLine="480" w:firstLineChars="200"/>
        <w:jc w:val="left"/>
        <w:rPr>
          <w:rFonts w:ascii="宋体" w:hAnsi="宋体" w:cs="宋体"/>
          <w:sz w:val="24"/>
          <w:szCs w:val="24"/>
        </w:rPr>
      </w:pPr>
      <w:r>
        <w:rPr>
          <w:rFonts w:hint="eastAsia" w:ascii="宋体" w:hAnsi="宋体" w:cs="宋体"/>
          <w:sz w:val="24"/>
          <w:szCs w:val="24"/>
        </w:rPr>
        <w:t>南海深水油气资源丰富，是我国油气资源的战略接替区和重要增长点。南海百年有义波高超13.4m，拥有全球最强最为活跃的内孤立波(振幅可达240米，水平流速可达2.5米/秒，垂向流速可达0.4米/秒)，对海洋油气开发挑战极大。项目启动前没有哪个国际工程公司拥有100%把握能在此海域实现安全、经济、高效的油气开发。</w:t>
      </w:r>
    </w:p>
    <w:p>
      <w:pPr>
        <w:widowControl/>
        <w:spacing w:line="440" w:lineRule="exact"/>
        <w:ind w:firstLine="480" w:firstLineChars="200"/>
        <w:jc w:val="left"/>
        <w:rPr>
          <w:rFonts w:ascii="宋体" w:hAnsi="宋体" w:cs="宋体"/>
          <w:sz w:val="24"/>
          <w:szCs w:val="24"/>
        </w:rPr>
      </w:pPr>
      <w:r>
        <w:rPr>
          <w:rFonts w:hint="eastAsia" w:ascii="宋体" w:hAnsi="宋体" w:cs="宋体"/>
          <w:sz w:val="24"/>
          <w:szCs w:val="24"/>
        </w:rPr>
        <w:t>以国家863和重大专项等科研项目为依托，历经10年研发和实践，项目攻克了“孤岛式”开发、超强台风生存、超长服役疲劳、超深水下回接等技术难题，形成了自主的1500米级超深水油气田全海式开发模式，实现了十万吨级半潜式生产储卸油平台+钢悬链立管+水下生产设施全海开发模式的世界首次应用。项目主要有三方面技术创新成果：</w:t>
      </w:r>
    </w:p>
    <w:p>
      <w:pPr>
        <w:spacing w:line="440" w:lineRule="exact"/>
        <w:ind w:firstLine="480" w:firstLineChars="200"/>
        <w:rPr>
          <w:rFonts w:ascii="宋体" w:hAnsi="宋体" w:cs="宋体"/>
          <w:sz w:val="24"/>
          <w:szCs w:val="24"/>
        </w:rPr>
      </w:pPr>
      <w:r>
        <w:rPr>
          <w:rFonts w:hint="eastAsia" w:ascii="宋体" w:hAnsi="宋体" w:cs="宋体"/>
          <w:sz w:val="24"/>
          <w:szCs w:val="24"/>
        </w:rPr>
        <w:t>一、创建了适用于全海式开发的超深水半潜式生产储卸油平台设计技术及其安全保障技术，保证了世界首个立柱储油半潜式生产储卸油平台安全服役。首创大跨距桁架式轻量化组块结构设计技术，提出了高阶非线性气隙响应精准预报方法，研发了适用于超深水半潜式生产储卸油平台的全寿命周期不坞修设计技术，建立了超深水半潜式平台凝析油外输安全保障体系，实现了全海式半潜生产平台安全外输。</w:t>
      </w:r>
    </w:p>
    <w:p>
      <w:pPr>
        <w:spacing w:before="120" w:line="440" w:lineRule="exact"/>
        <w:ind w:firstLine="420"/>
        <w:rPr>
          <w:rFonts w:ascii="宋体" w:hAnsi="宋体" w:cs="宋体"/>
          <w:sz w:val="24"/>
          <w:szCs w:val="24"/>
        </w:rPr>
      </w:pPr>
      <w:r>
        <w:rPr>
          <w:rFonts w:hint="eastAsia" w:ascii="宋体" w:hAnsi="宋体" w:cs="宋体"/>
          <w:sz w:val="24"/>
          <w:szCs w:val="24"/>
        </w:rPr>
        <w:t>二、创立了南海恶劣海况下30年服役期钢悬链立管工程设计技术体系，实现了国内首次超深水钢悬链立管系统设计和安装。提出了内侧反向悬挂钢悬链立管概念和立管底部异形管端结构形式，打破了半潜式平台外侧悬挂传统，实现立管触底区疲劳寿命提升至145%；提出了适用于18寸大管径、15度大脱离角的钢悬链立管预倾回调安装技术，发明了多向多根钢悬链立管的提升回接装置，实现了800吨超大张力立管一次性连续提升就位。</w:t>
      </w:r>
    </w:p>
    <w:p>
      <w:pPr>
        <w:spacing w:before="120" w:line="440" w:lineRule="exact"/>
        <w:ind w:firstLine="420"/>
        <w:rPr>
          <w:rFonts w:ascii="宋体" w:hAnsi="宋体" w:cs="宋体"/>
          <w:sz w:val="24"/>
          <w:szCs w:val="24"/>
        </w:rPr>
      </w:pPr>
      <w:r>
        <w:rPr>
          <w:rFonts w:hint="eastAsia" w:ascii="宋体" w:hAnsi="宋体" w:cs="宋体"/>
          <w:sz w:val="24"/>
          <w:szCs w:val="24"/>
        </w:rPr>
        <w:t>研发了适用于南海恶劣海况的钢悬链立管工程设计技术，提出了预倾回调立管安装技术，发明了多向立管提升回接装置，实现了国内首次钢悬链立管系统高精度安全就位，满足了30年服役期要求。</w:t>
      </w:r>
    </w:p>
    <w:p>
      <w:pPr>
        <w:widowControl/>
        <w:spacing w:line="440" w:lineRule="exact"/>
        <w:ind w:firstLine="480" w:firstLineChars="200"/>
        <w:jc w:val="left"/>
        <w:rPr>
          <w:rFonts w:ascii="宋体" w:hAnsi="宋体" w:cs="宋体"/>
          <w:sz w:val="24"/>
          <w:szCs w:val="24"/>
        </w:rPr>
      </w:pPr>
      <w:r>
        <w:rPr>
          <w:rFonts w:hint="eastAsia" w:ascii="宋体" w:hAnsi="宋体" w:cs="宋体"/>
          <w:sz w:val="24"/>
          <w:szCs w:val="24"/>
        </w:rPr>
        <w:t>三、创建了超深水海底管道高效、高精度回接技术和水下生产系统安全设计方法与测试技术体系，提高海上回接施工效率超过50%。研发了适用于1500米水深、可舷侧安装的海管终端单元（PLET）产品，解决了传统S-lay铺管方式中，大尺寸PLET无法通过作业线张紧的难题；发明了可精准水下对接的水下辅助升降模块，实现了水下设备安装精准对接，解决了由于已安装水下设施沉降的不确定性带来的后期管道对中不准确难题。提高海上施工效率超过50%；研发和构建了中国首个水下生产系统安全设计与测试技术体系，解决了水下生产系统国产化规范衡准缺失问题。</w:t>
      </w:r>
    </w:p>
    <w:p>
      <w:pPr>
        <w:widowControl/>
        <w:spacing w:line="440" w:lineRule="exact"/>
        <w:ind w:firstLine="480" w:firstLineChars="200"/>
        <w:jc w:val="left"/>
        <w:rPr>
          <w:rFonts w:ascii="宋体" w:hAnsi="宋体" w:cs="宋体"/>
          <w:sz w:val="24"/>
          <w:szCs w:val="24"/>
        </w:rPr>
      </w:pPr>
      <w:r>
        <w:rPr>
          <w:rFonts w:hint="eastAsia" w:ascii="宋体" w:hAnsi="宋体" w:cs="宋体"/>
          <w:sz w:val="24"/>
          <w:szCs w:val="24"/>
        </w:rPr>
        <w:t>项目获发明专</w:t>
      </w:r>
      <w:r>
        <w:rPr>
          <w:rFonts w:hint="eastAsia" w:ascii="宋体" w:hAnsi="宋体" w:cs="宋体"/>
          <w:sz w:val="24"/>
          <w:szCs w:val="24"/>
          <w:highlight w:val="yellow"/>
        </w:rPr>
        <w:t>利12件，实用新型14件，软件著作权3项，论文29篇(SCI/EI 13篇)，企标6项</w:t>
      </w:r>
      <w:r>
        <w:rPr>
          <w:rFonts w:hint="eastAsia" w:ascii="宋体" w:hAnsi="宋体" w:cs="宋体"/>
          <w:sz w:val="24"/>
          <w:szCs w:val="24"/>
        </w:rPr>
        <w:t>，获局级特等奖1项，一等奖2项。</w:t>
      </w:r>
    </w:p>
    <w:p>
      <w:pPr>
        <w:widowControl/>
        <w:spacing w:line="440" w:lineRule="exact"/>
        <w:ind w:firstLine="480" w:firstLineChars="200"/>
        <w:jc w:val="left"/>
        <w:rPr>
          <w:rFonts w:ascii="宋体" w:hAnsi="宋体" w:cs="宋体"/>
          <w:sz w:val="24"/>
          <w:szCs w:val="24"/>
        </w:rPr>
      </w:pPr>
      <w:r>
        <w:rPr>
          <w:rFonts w:hint="eastAsia" w:ascii="宋体" w:hAnsi="宋体" w:cs="宋体"/>
          <w:sz w:val="24"/>
          <w:szCs w:val="24"/>
        </w:rPr>
        <w:t>成果成功应用于陵水17-2油气田开发工程，项目投产2年来，后经受住了“康森”、“圆规”、“雷伊”等5个台风的袭击，最大风力超过12级，截至23年3月，累计向粤港澳供气445000万方，外输原油43.4万吨。技术已推广至我国首个深水浮式风电“观澜”号项目和其他项目，直接经济效益63.8亿元。</w:t>
      </w:r>
    </w:p>
    <w:p>
      <w:pPr>
        <w:widowControl/>
        <w:spacing w:line="440" w:lineRule="exact"/>
        <w:ind w:firstLine="480" w:firstLineChars="200"/>
        <w:jc w:val="left"/>
        <w:rPr>
          <w:rFonts w:ascii="宋体" w:hAnsi="宋体" w:cs="宋体"/>
          <w:sz w:val="24"/>
          <w:szCs w:val="24"/>
        </w:rPr>
      </w:pPr>
      <w:r>
        <w:rPr>
          <w:rFonts w:hint="eastAsia" w:ascii="宋体" w:hAnsi="宋体" w:cs="宋体"/>
          <w:sz w:val="24"/>
          <w:szCs w:val="24"/>
        </w:rPr>
        <w:t>项目的研发和实践，实现了我国油气田自主开发能力从300米到1500米超深水的历史性跨越，标志着我国深水油气开发迈入了世界第一梯队，拥有了自主可控开发南海超深水油气田的能力，为维护南海主权、践行海洋强国战略做出应有贡献。</w:t>
      </w:r>
    </w:p>
    <w:p>
      <w:pPr>
        <w:spacing w:before="120" w:line="360" w:lineRule="exact"/>
        <w:rPr>
          <w:sz w:val="24"/>
        </w:rPr>
      </w:pPr>
    </w:p>
    <w:p>
      <w:pPr>
        <w:spacing w:after="312" w:afterLines="100" w:line="400" w:lineRule="exact"/>
        <w:jc w:val="center"/>
        <w:outlineLvl w:val="0"/>
        <w:rPr>
          <w:rFonts w:eastAsia="黑体"/>
          <w:sz w:val="32"/>
        </w:rPr>
      </w:pPr>
      <w:r>
        <w:rPr>
          <w:rFonts w:eastAsia="黑体"/>
          <w:sz w:val="32"/>
        </w:rPr>
        <w:br w:type="page"/>
      </w:r>
      <w:r>
        <w:rPr>
          <w:rFonts w:hint="eastAsia" w:eastAsia="黑体"/>
          <w:sz w:val="32"/>
        </w:rPr>
        <w:t>三、项目详细内容</w:t>
      </w:r>
    </w:p>
    <w:p>
      <w:pPr>
        <w:spacing w:after="156" w:afterLines="50" w:line="360" w:lineRule="exact"/>
        <w:outlineLvl w:val="1"/>
        <w:rPr>
          <w:rFonts w:ascii="楷体_GB2312" w:hAnsi="楷体_GB2312" w:eastAsia="楷体_GB2312" w:cs="楷体_GB2312"/>
          <w:b/>
          <w:sz w:val="32"/>
          <w:szCs w:val="32"/>
        </w:rPr>
      </w:pPr>
      <w:r>
        <w:rPr>
          <w:rFonts w:hint="eastAsia" w:ascii="楷体_GB2312" w:hAnsi="楷体_GB2312" w:eastAsia="楷体_GB2312" w:cs="楷体_GB2312"/>
          <w:b/>
          <w:sz w:val="32"/>
          <w:szCs w:val="32"/>
        </w:rPr>
        <w:t>1.研究背景  1000</w:t>
      </w:r>
    </w:p>
    <w:p>
      <w:pPr>
        <w:spacing w:before="120" w:line="440" w:lineRule="exact"/>
        <w:ind w:firstLine="480" w:firstLineChars="200"/>
        <w:rPr>
          <w:rFonts w:ascii="宋体" w:hAnsi="宋体" w:cs="宋体"/>
          <w:sz w:val="24"/>
          <w:szCs w:val="24"/>
        </w:rPr>
      </w:pPr>
      <w:r>
        <w:rPr>
          <w:rFonts w:hint="eastAsia" w:ascii="宋体" w:hAnsi="宋体" w:cs="宋体"/>
          <w:sz w:val="24"/>
          <w:szCs w:val="24"/>
        </w:rPr>
        <w:t>油气资源是国家重要战略资源之一，我国原油对外依存度已连续五年达到70%及以上。国家十四五规划明确提出“加快深海、深层和非常规油气资源利用，推动油气增储上产”。南海油气资源极其丰富，但其中约76%分布在深水区。项目启动前我国深水油气自主开发能力与国际差距悬殊，在超深水（水深&gt;1500m）油气自主开发能力方面处于空白。</w:t>
      </w:r>
    </w:p>
    <w:p>
      <w:pPr>
        <w:spacing w:before="120" w:line="440" w:lineRule="exact"/>
        <w:ind w:firstLine="480" w:firstLineChars="200"/>
        <w:rPr>
          <w:rFonts w:ascii="宋体" w:hAnsi="宋体" w:cs="宋体"/>
          <w:sz w:val="24"/>
          <w:szCs w:val="24"/>
        </w:rPr>
      </w:pPr>
      <w:r>
        <w:rPr>
          <w:rFonts w:hint="eastAsia" w:ascii="宋体" w:hAnsi="宋体" w:cs="宋体"/>
          <w:sz w:val="24"/>
          <w:szCs w:val="24"/>
        </w:rPr>
        <w:t>研发1500米级超深水油气田自主开发设施，开发南海深水油资源既是保证国家能源安全的重要途径，也是维护我国海洋权益的迫切需求。为形成南海深水油气资源自主可控开发技术体系，实现“能源的饭碗必须端在自己手里”，项目团队从水面、水中和水下三个方面进行联合攻关，力图闯出一条自主的超深水油气田开发创新之路，实现我国深水油气田自主开发能力从300米到1500米水深的历史性跨越。在充分总结国外经验教训基础上，项目团队认识到南海超深水油气田自主可控开发面临三大技术难题：</w:t>
      </w:r>
    </w:p>
    <w:p>
      <w:pPr>
        <w:spacing w:before="120" w:line="440" w:lineRule="exact"/>
        <w:ind w:firstLine="480" w:firstLineChars="200"/>
        <w:rPr>
          <w:rFonts w:ascii="宋体" w:hAnsi="宋体" w:cs="宋体"/>
          <w:sz w:val="24"/>
          <w:szCs w:val="24"/>
        </w:rPr>
      </w:pPr>
      <w:r>
        <w:rPr>
          <w:rFonts w:hint="eastAsia" w:ascii="宋体" w:hAnsi="宋体" w:cs="宋体"/>
          <w:sz w:val="24"/>
          <w:szCs w:val="24"/>
          <w:highlight w:val="yellow"/>
        </w:rPr>
        <w:t>一是浮式平台的船型开发诸多挑战，针对油气田周围无工程设施依托的“孤岛式”开发，需要创新模式解决凝析油经济高效安全转运问题。中国南海有着世界上最恶劣的海况，风高流急，表层流速可达2m/s以上，波浪周期长且能量集中，极端波高和波浪疲劳破坏机理给浮式平台气隙和疲劳设计带来巨大挑战。半潜生产平台船体是敞口结构，上部模块与下部船体作为整体参与平台整体强度，组块所受交替载荷巨大。半潜平台上部组块吊装合龙重量超过15000吨，结构接口尺寸小，受力大，对接精度要求高，对接错皮量不满足要求将直接导致平台疲劳寿命不满足要求，需开展大尺度超高强度轻量化桁架式组块设计攻关。超深水系泊和立管系统解脱和回接代价高昂，平台坞修在经济性上不可接受，需要开展全生命周期不坞修设计攻关。</w:t>
      </w:r>
    </w:p>
    <w:p>
      <w:pPr>
        <w:spacing w:before="120" w:line="440" w:lineRule="exact"/>
        <w:ind w:firstLine="480" w:firstLineChars="200"/>
        <w:rPr>
          <w:rFonts w:ascii="宋体" w:hAnsi="宋体" w:cs="宋体"/>
          <w:sz w:val="24"/>
          <w:szCs w:val="24"/>
        </w:rPr>
      </w:pPr>
      <w:r>
        <w:rPr>
          <w:rFonts w:hint="eastAsia" w:ascii="宋体" w:hAnsi="宋体" w:cs="宋体"/>
          <w:sz w:val="24"/>
          <w:szCs w:val="24"/>
        </w:rPr>
        <w:t>二是南海恶劣风暴海况下，钢悬链立管系统需承受巨大极限载荷、产生巨大的底部张力，可能导致与立管相连的平管及管道终端发送大变形，甚至可能出现断裂风险。超深水大直径立管安装提升张力需求大，同时存在与浮式平台干涉碰撞风险。</w:t>
      </w:r>
    </w:p>
    <w:p>
      <w:pPr>
        <w:spacing w:before="120" w:line="440" w:lineRule="exact"/>
        <w:ind w:firstLine="480" w:firstLineChars="200"/>
        <w:rPr>
          <w:rFonts w:ascii="宋体" w:hAnsi="宋体" w:cs="宋体"/>
          <w:sz w:val="24"/>
          <w:szCs w:val="24"/>
        </w:rPr>
      </w:pPr>
      <w:r>
        <w:rPr>
          <w:rFonts w:hint="eastAsia" w:ascii="宋体" w:hAnsi="宋体" w:cs="宋体"/>
          <w:sz w:val="24"/>
          <w:szCs w:val="24"/>
        </w:rPr>
        <w:t>三是1500米超深水环境下，需要将立管固定在船尾几个小时与海管终端单元（PLET）进行焊接和检验，海管时刻承受着风、波浪、底流和自重的交变载荷，存在屈曲的风险，给传统的S-lay铺设PLET组装带来极大风险；另外，整个半潜平台处理的合格天然气需要通过立管输送至已建的28寸崖城至香港的长输管线，而且需要在28寸主管道不停输的前提下进行带压开孔和回接，已安装设施的沉降不确定性对后期管道模块的安装对中带来了极大挑战。同时，水下生产系统国产化规范衡准缺失也对我国建立安全、可靠的水下技术体系带来挑战。</w:t>
      </w:r>
    </w:p>
    <w:p>
      <w:pPr>
        <w:spacing w:before="120" w:line="440" w:lineRule="exact"/>
        <w:ind w:firstLine="480" w:firstLineChars="200"/>
        <w:rPr>
          <w:rFonts w:ascii="宋体" w:hAnsi="宋体" w:cs="宋体"/>
          <w:sz w:val="24"/>
          <w:szCs w:val="24"/>
        </w:rPr>
      </w:pPr>
      <w:r>
        <w:rPr>
          <w:rFonts w:hint="eastAsia" w:ascii="宋体" w:hAnsi="宋体" w:cs="宋体"/>
          <w:sz w:val="24"/>
          <w:szCs w:val="24"/>
        </w:rPr>
        <w:t>通过上述三大难题的攻关，可以形成一套自主可控的南海超深水大气田工程方案，完成国内首个超深水大气田建设，填补国内超深水油气田开发技术和工程实践空白，并推广其他南海深水海洋资源开发项目。</w:t>
      </w:r>
    </w:p>
    <w:p>
      <w:pPr>
        <w:spacing w:after="156" w:afterLines="50" w:line="360" w:lineRule="exact"/>
        <w:outlineLvl w:val="1"/>
        <w:rPr>
          <w:rFonts w:ascii="楷体_GB2312" w:hAnsi="楷体_GB2312" w:eastAsia="楷体_GB2312" w:cs="楷体_GB2312"/>
          <w:b/>
          <w:sz w:val="32"/>
          <w:szCs w:val="32"/>
        </w:rPr>
      </w:pPr>
      <w:r>
        <w:rPr>
          <w:rFonts w:hint="eastAsia" w:ascii="楷体_GB2312" w:hAnsi="楷体_GB2312" w:eastAsia="楷体_GB2312" w:cs="楷体_GB2312"/>
          <w:b/>
          <w:sz w:val="32"/>
          <w:szCs w:val="32"/>
        </w:rPr>
        <w:t>2.技术路线及主要创新点</w:t>
      </w:r>
    </w:p>
    <w:p>
      <w:pPr>
        <w:spacing w:line="440" w:lineRule="exact"/>
        <w:ind w:firstLine="600" w:firstLineChars="200"/>
        <w:rPr>
          <w:rFonts w:asciiTheme="minorHAnsi" w:hAnsiTheme="minorHAnsi" w:eastAsiaTheme="minorEastAsia" w:cstheme="minorBidi"/>
          <w:sz w:val="24"/>
          <w:szCs w:val="22"/>
        </w:rPr>
      </w:pPr>
      <w:r>
        <w:rPr>
          <w:rFonts w:hint="eastAsia" w:ascii="仿宋_GB2312" w:hAnsi="仿宋_GB2312" w:eastAsia="仿宋_GB2312" w:cs="仿宋_GB2312"/>
          <w:sz w:val="30"/>
          <w:szCs w:val="30"/>
        </w:rPr>
        <w:drawing>
          <wp:anchor distT="0" distB="0" distL="114300" distR="114300" simplePos="0" relativeHeight="251661312" behindDoc="0" locked="0" layoutInCell="1" allowOverlap="1">
            <wp:simplePos x="0" y="0"/>
            <wp:positionH relativeFrom="column">
              <wp:posOffset>2169160</wp:posOffset>
            </wp:positionH>
            <wp:positionV relativeFrom="paragraph">
              <wp:posOffset>351790</wp:posOffset>
            </wp:positionV>
            <wp:extent cx="3588385" cy="4176395"/>
            <wp:effectExtent l="0" t="0" r="12065" b="14605"/>
            <wp:wrapSquare wrapText="bothSides"/>
            <wp:docPr id="1" name="图片 1" descr="页-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页-1(15)"/>
                    <pic:cNvPicPr>
                      <a:picLocks noChangeAspect="1"/>
                    </pic:cNvPicPr>
                  </pic:nvPicPr>
                  <pic:blipFill>
                    <a:blip r:embed="rId6"/>
                    <a:srcRect l="20869" t="3964" r="34110" b="19633"/>
                    <a:stretch>
                      <a:fillRect/>
                    </a:stretch>
                  </pic:blipFill>
                  <pic:spPr>
                    <a:xfrm>
                      <a:off x="0" y="0"/>
                      <a:ext cx="3588385" cy="4176395"/>
                    </a:xfrm>
                    <a:prstGeom prst="rect">
                      <a:avLst/>
                    </a:prstGeom>
                  </pic:spPr>
                </pic:pic>
              </a:graphicData>
            </a:graphic>
          </wp:anchor>
        </w:drawing>
      </w:r>
      <w:r>
        <w:rPr>
          <w:rFonts w:hint="eastAsia" w:asciiTheme="minorHAnsi" w:hAnsiTheme="minorHAnsi" w:eastAsiaTheme="minorEastAsia" w:cstheme="minorBidi"/>
          <w:sz w:val="24"/>
          <w:szCs w:val="22"/>
        </w:rPr>
        <w:t>项目在评估国内外技术发展现状及现有平台工程经验的基础上，确定本项目的攻关任务，识别关键核心技术，并基于此确定合理可行的攻关目标，制定相应攻关计划。通过基础理论研究、数值分析计算、试验平台建设、关键工艺验证等完成核心技术攻关，通过样机制造、测试、试验、鉴定等方式验证验证攻关成果性能，最后依托陵水项目实现了十万吨级半潜式生产储卸油平台+钢悬链立管+水下生产设施全海开发模式的世界首次工程应用。</w:t>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项目技术路线如下：</w:t>
      </w:r>
    </w:p>
    <w:p>
      <w:pPr>
        <w:spacing w:before="120"/>
        <w:ind w:firstLine="600" w:firstLineChars="200"/>
        <w:rPr>
          <w:rFonts w:ascii="仿宋_GB2312" w:hAnsi="仿宋_GB2312" w:eastAsia="仿宋_GB2312" w:cs="仿宋_GB2312"/>
          <w:sz w:val="30"/>
          <w:szCs w:val="30"/>
        </w:rPr>
      </w:pPr>
    </w:p>
    <w:p>
      <w:pPr>
        <w:numPr>
          <w:ilvl w:val="0"/>
          <w:numId w:val="1"/>
        </w:numPr>
        <w:spacing w:line="440" w:lineRule="exact"/>
        <w:outlineLvl w:val="2"/>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创立了适用于全海式开发的超深水半潜式生产储卸油平台设计技术及安全保障技术</w:t>
      </w:r>
    </w:p>
    <w:p>
      <w:pPr>
        <w:numPr>
          <w:ilvl w:val="0"/>
          <w:numId w:val="2"/>
        </w:numPr>
        <w:spacing w:line="440" w:lineRule="exact"/>
        <w:outlineLvl w:val="2"/>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首创了全寿命周期的储卸油安全保障系统设计技术体系</w:t>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针对油气田周围无工程设施依托的“孤岛式”开发、周边无原油管道可利用且新建原油管道费用高昂、凝析油易燃易爆、高干舷带来的外输软管碰撞、砸落风险及软管大漂移等系统性难题，创新提出超深水半潜式平台凝析油外输安全保障系统设计，</w:t>
      </w:r>
      <w:r>
        <w:rPr>
          <w:rFonts w:hint="eastAsia" w:ascii="宋体" w:hAnsi="宋体" w:cs="宋体"/>
          <w:sz w:val="24"/>
        </w:rPr>
        <w:t>实现了“孤岛式”开发模式下的安全外输。</w:t>
      </w:r>
    </w:p>
    <w:p>
      <w:pPr>
        <w:spacing w:line="440" w:lineRule="exact"/>
        <w:ind w:firstLine="480" w:firstLineChars="200"/>
        <w:rPr>
          <w:rFonts w:asciiTheme="minorHAnsi" w:hAnsiTheme="minorHAnsi" w:eastAsiaTheme="minorEastAsia" w:cstheme="minorBidi"/>
          <w:sz w:val="24"/>
          <w:szCs w:val="22"/>
        </w:rPr>
      </w:pPr>
      <w:r>
        <w:rPr>
          <w:rFonts w:hint="eastAsia" w:ascii="宋体" w:hAnsi="宋体"/>
          <w:sz w:val="24"/>
        </w:rPr>
        <w:t>综合考虑不同月份、不同风向，不同浪、不同流向的综合影响，首次</w:t>
      </w:r>
      <w:r>
        <w:rPr>
          <w:rFonts w:hint="eastAsia" w:asciiTheme="minorHAnsi" w:hAnsiTheme="minorHAnsi" w:eastAsiaTheme="minorEastAsia" w:cstheme="minorBidi"/>
          <w:sz w:val="24"/>
          <w:szCs w:val="22"/>
        </w:rPr>
        <w:t>提出外输系统+动力定位穿梭油轮的方式进行凝析油外输，首次对外输作业引入计算机仿真模拟，模拟油轮、平台的运动，探讨了不同海况、不同作业条件、不同油轮位置时作业概率，</w:t>
      </w:r>
      <w:r>
        <w:rPr>
          <w:rFonts w:hint="eastAsia" w:ascii="宋体" w:hAnsi="宋体"/>
          <w:sz w:val="24"/>
        </w:rPr>
        <w:t>总结出</w:t>
      </w:r>
      <w:r>
        <w:rPr>
          <w:rFonts w:ascii="宋体" w:hAnsi="宋体"/>
          <w:sz w:val="24"/>
        </w:rPr>
        <w:t>半潜式平台与外输油轮</w:t>
      </w:r>
      <w:r>
        <w:rPr>
          <w:rFonts w:hint="eastAsia" w:ascii="宋体" w:hAnsi="宋体"/>
          <w:sz w:val="24"/>
        </w:rPr>
        <w:t>的安全准则及环境限制条件，将</w:t>
      </w:r>
      <w:r>
        <w:rPr>
          <w:rFonts w:ascii="宋体" w:hAnsi="宋体"/>
          <w:sz w:val="24"/>
        </w:rPr>
        <w:t>每月作业概率</w:t>
      </w:r>
      <w:r>
        <w:rPr>
          <w:rFonts w:hint="eastAsia" w:ascii="宋体" w:hAnsi="宋体"/>
          <w:sz w:val="24"/>
        </w:rPr>
        <w:t>提高到</w:t>
      </w:r>
      <w:r>
        <w:rPr>
          <w:rFonts w:ascii="宋体" w:hAnsi="宋体"/>
          <w:sz w:val="24"/>
        </w:rPr>
        <w:t>90%</w:t>
      </w:r>
      <w:r>
        <w:rPr>
          <w:rFonts w:hint="eastAsia" w:ascii="宋体" w:hAnsi="宋体"/>
          <w:sz w:val="24"/>
        </w:rPr>
        <w:t>，截至目前已成功外输41船次凝析油，解决了</w:t>
      </w:r>
      <w:r>
        <w:rPr>
          <w:rFonts w:hint="eastAsia" w:asciiTheme="minorHAnsi" w:hAnsiTheme="minorHAnsi" w:eastAsiaTheme="minorEastAsia" w:cstheme="minorBidi"/>
          <w:sz w:val="24"/>
          <w:szCs w:val="22"/>
        </w:rPr>
        <w:t>无原油管道可依的问题。</w:t>
      </w:r>
    </w:p>
    <w:p>
      <w:pPr>
        <w:ind w:firstLine="420" w:firstLineChars="200"/>
        <w:jc w:val="center"/>
        <w:rPr>
          <w:rFonts w:ascii="宋体" w:hAnsi="宋体"/>
          <w:sz w:val="24"/>
        </w:rPr>
      </w:pPr>
      <w:r>
        <w:rPr>
          <w:szCs w:val="24"/>
        </w:rPr>
        <w:drawing>
          <wp:inline distT="0" distB="0" distL="0" distR="0">
            <wp:extent cx="3036570" cy="2672715"/>
            <wp:effectExtent l="0" t="0" r="0" b="0"/>
            <wp:docPr id="956178969" name="图片 95617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78969" name="图片 956178969"/>
                    <pic:cNvPicPr>
                      <a:picLocks noChangeAspect="1"/>
                    </pic:cNvPicPr>
                  </pic:nvPicPr>
                  <pic:blipFill>
                    <a:blip r:embed="rId7" cstate="print"/>
                    <a:stretch>
                      <a:fillRect/>
                    </a:stretch>
                  </pic:blipFill>
                  <pic:spPr>
                    <a:xfrm>
                      <a:off x="0" y="0"/>
                      <a:ext cx="3044893" cy="2680502"/>
                    </a:xfrm>
                    <a:prstGeom prst="rect">
                      <a:avLst/>
                    </a:prstGeom>
                  </pic:spPr>
                </pic:pic>
              </a:graphicData>
            </a:graphic>
          </wp:inline>
        </w:drawing>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针对凝析油具有低闪点、易挥发等特性，基于“源头控制、动态监测、惰气隔绝、超压保护、应急操作”五大方向设计了完备的安全体系，全方位覆盖凝析油的进舱、储存、调节、监控、外输等环节，确保了凝析油外输的安全。</w:t>
      </w:r>
    </w:p>
    <w:p>
      <w:pPr>
        <w:ind w:firstLine="420" w:firstLineChars="200"/>
        <w:rPr>
          <w:rFonts w:asciiTheme="minorHAnsi" w:hAnsiTheme="minorHAnsi" w:eastAsiaTheme="minorEastAsia" w:cstheme="minorBidi"/>
          <w:sz w:val="24"/>
          <w:szCs w:val="22"/>
        </w:rPr>
      </w:pPr>
      <w:r>
        <w:rPr>
          <w:szCs w:val="24"/>
        </w:rPr>
        <w:drawing>
          <wp:inline distT="0" distB="0" distL="0" distR="0">
            <wp:extent cx="4415155" cy="2057400"/>
            <wp:effectExtent l="0" t="0" r="4445" b="0"/>
            <wp:docPr id="110" name="图片 11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图示, 工程绘图&#10;&#10;描述已自动生成"/>
                    <pic:cNvPicPr>
                      <a:picLocks noChangeAspect="1"/>
                    </pic:cNvPicPr>
                  </pic:nvPicPr>
                  <pic:blipFill>
                    <a:blip r:embed="rId8" cstate="print">
                      <a:extLst>
                        <a:ext uri="{28A0092B-C50C-407E-A947-70E740481C1C}">
                          <a14:useLocalDpi xmlns:a14="http://schemas.microsoft.com/office/drawing/2010/main" val="0"/>
                        </a:ext>
                      </a:extLst>
                    </a:blip>
                    <a:srcRect t="17312" b="16769"/>
                    <a:stretch>
                      <a:fillRect/>
                    </a:stretch>
                  </pic:blipFill>
                  <pic:spPr>
                    <a:xfrm>
                      <a:off x="0" y="0"/>
                      <a:ext cx="4450678" cy="2073793"/>
                    </a:xfrm>
                    <a:prstGeom prst="rect">
                      <a:avLst/>
                    </a:prstGeom>
                    <a:ln>
                      <a:noFill/>
                    </a:ln>
                  </pic:spPr>
                </pic:pic>
              </a:graphicData>
            </a:graphic>
          </wp:inline>
        </w:drawing>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半潜生产储油平台干舷高、外输平台为框架式结构且突出下部船体、外输甲板舷侧到水面无连续的钢壁结构，外输作业时外输软管与组块生产甲板极易发生碰撞并发生软管砸落造成事故。针对以上问题，首次提出高干舷外输作业安全保障技术，建立模拟分析软管碰撞情况，形成外输系统的总体布置准则，降低外输软管与组块生产甲板发生碰撞干涉的频率；创新设计应急脱钩装置、软管下落速度控制装置，解决了软管与结构之间的碰撞问题和软管砸落结构的问题，避免了软管大漂移导致外输作业中断、软管受损、油气泄露、平台遭受意外砸撞等不可预判的安全事故。</w:t>
      </w:r>
    </w:p>
    <w:p>
      <w:pPr>
        <w:ind w:firstLine="1200" w:firstLineChars="500"/>
        <w:jc w:val="left"/>
        <w:rPr>
          <w:rFonts w:asciiTheme="minorHAnsi" w:hAnsiTheme="minorHAnsi" w:eastAsiaTheme="minorEastAsia" w:cstheme="minorBidi"/>
          <w:sz w:val="24"/>
          <w:szCs w:val="22"/>
        </w:rPr>
      </w:pPr>
      <w:r>
        <w:rPr>
          <w:rFonts w:asciiTheme="minorHAnsi" w:hAnsiTheme="minorHAnsi" w:eastAsiaTheme="minorEastAsia" w:cstheme="minorBidi"/>
          <w:sz w:val="24"/>
          <w:szCs w:val="22"/>
        </w:rPr>
        <w:drawing>
          <wp:inline distT="0" distB="0" distL="0" distR="0">
            <wp:extent cx="2137410" cy="1035685"/>
            <wp:effectExtent l="0" t="0" r="0" b="0"/>
            <wp:docPr id="552404654" name="图片 55240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04654" name="图片 55240465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797" cy="1038920"/>
                    </a:xfrm>
                    <a:prstGeom prst="rect">
                      <a:avLst/>
                    </a:prstGeom>
                  </pic:spPr>
                </pic:pic>
              </a:graphicData>
            </a:graphic>
          </wp:inline>
        </w:drawing>
      </w:r>
      <w:r>
        <w:rPr>
          <w:rFonts w:hint="eastAsia" w:asciiTheme="minorHAnsi" w:hAnsiTheme="minorHAnsi" w:eastAsiaTheme="minorEastAsia" w:cstheme="minorBidi"/>
          <w:sz w:val="24"/>
          <w:szCs w:val="22"/>
        </w:rPr>
        <w:t xml:space="preserve"> </w:t>
      </w:r>
      <w:r>
        <w:rPr>
          <w:rFonts w:asciiTheme="minorHAnsi" w:hAnsiTheme="minorHAnsi" w:eastAsiaTheme="minorEastAsia" w:cstheme="minorBidi"/>
          <w:sz w:val="24"/>
          <w:szCs w:val="22"/>
        </w:rPr>
        <w:t xml:space="preserve">      </w:t>
      </w:r>
      <w:r>
        <w:rPr>
          <w:rFonts w:asciiTheme="minorHAnsi" w:hAnsiTheme="minorHAnsi" w:eastAsiaTheme="minorEastAsia" w:cstheme="minorBidi"/>
          <w:sz w:val="24"/>
          <w:szCs w:val="22"/>
        </w:rPr>
        <w:drawing>
          <wp:inline distT="0" distB="0" distL="0" distR="0">
            <wp:extent cx="1567815" cy="1384935"/>
            <wp:effectExtent l="0" t="0" r="0" b="5715"/>
            <wp:docPr id="1026679784" name="图片 102667978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79784" name="图片 1026679784" descr="Screen Clippi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2688" cy="1389297"/>
                    </a:xfrm>
                    <a:prstGeom prst="rect">
                      <a:avLst/>
                    </a:prstGeom>
                  </pic:spPr>
                </pic:pic>
              </a:graphicData>
            </a:graphic>
          </wp:inline>
        </w:drawing>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首创分布式船体控制系统集成设计技术，实现海上油气生产的全系统感知、远程监控、管控一体化和科学决策目标，为半潜平台安装、就位、生产以及外输提供可靠的控制系统支持。</w:t>
      </w:r>
    </w:p>
    <w:p>
      <w:pPr>
        <w:spacing w:line="560" w:lineRule="exact"/>
        <w:ind w:firstLine="480" w:firstLineChars="200"/>
        <w:rPr>
          <w:rFonts w:ascii="宋体" w:hAnsi="宋体"/>
          <w:bCs/>
          <w:color w:val="000000"/>
          <w:sz w:val="24"/>
        </w:rPr>
      </w:pPr>
      <w:r>
        <w:rPr>
          <w:rFonts w:hint="eastAsia" w:ascii="宋体" w:hAnsi="宋体"/>
          <w:bCs/>
          <w:color w:val="000000"/>
          <w:sz w:val="24"/>
        </w:rPr>
        <w:t>基于精准的两点DGPS定位组合技术、AIS技术以及WIFI技术，创新设计一套高精准辅助靠泊系统，高精度的获取油轮定位信息、油轮位移，保障外输油轮靠泊操作的安全性、高效性以及可靠性。</w:t>
      </w:r>
    </w:p>
    <w:p>
      <w:pPr>
        <w:ind w:firstLine="480" w:firstLineChars="200"/>
        <w:jc w:val="center"/>
        <w:rPr>
          <w:rFonts w:ascii="仿宋" w:hAnsi="仿宋" w:eastAsia="仿宋"/>
          <w:bCs/>
          <w:color w:val="000000"/>
          <w:sz w:val="24"/>
        </w:rPr>
      </w:pPr>
      <w:r>
        <w:rPr>
          <w:rFonts w:ascii="仿宋" w:hAnsi="仿宋" w:eastAsia="仿宋"/>
          <w:bCs/>
          <w:color w:val="000000"/>
          <w:sz w:val="24"/>
        </w:rPr>
        <w:drawing>
          <wp:inline distT="0" distB="0" distL="0" distR="0">
            <wp:extent cx="2752090" cy="1828800"/>
            <wp:effectExtent l="0" t="0" r="0" b="0"/>
            <wp:docPr id="1602011061" name="图片 160201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11061" name="图片 1602011061"/>
                    <pic:cNvPicPr>
                      <a:picLocks noChangeAspect="1"/>
                    </pic:cNvPicPr>
                  </pic:nvPicPr>
                  <pic:blipFill>
                    <a:blip r:embed="rId11"/>
                    <a:stretch>
                      <a:fillRect/>
                    </a:stretch>
                  </pic:blipFill>
                  <pic:spPr>
                    <a:xfrm>
                      <a:off x="0" y="0"/>
                      <a:ext cx="2752134" cy="1828904"/>
                    </a:xfrm>
                    <a:prstGeom prst="rect">
                      <a:avLst/>
                    </a:prstGeom>
                  </pic:spPr>
                </pic:pic>
              </a:graphicData>
            </a:graphic>
          </wp:inline>
        </w:drawing>
      </w:r>
    </w:p>
    <w:p>
      <w:pPr>
        <w:spacing w:line="560" w:lineRule="exact"/>
        <w:ind w:firstLine="480" w:firstLineChars="200"/>
        <w:rPr>
          <w:rFonts w:asciiTheme="minorHAnsi" w:hAnsiTheme="minorHAnsi" w:eastAsiaTheme="minorEastAsia" w:cstheme="minorBidi"/>
          <w:sz w:val="24"/>
          <w:szCs w:val="22"/>
        </w:rPr>
      </w:pPr>
      <w:r>
        <w:rPr>
          <w:rFonts w:hint="eastAsia" w:ascii="宋体" w:hAnsi="宋体"/>
          <w:bCs/>
          <w:color w:val="000000"/>
          <w:sz w:val="24"/>
        </w:rPr>
        <w:t>超深水半潜式生产储卸油平台各系统数据传交错复杂，创新设计一套数据共享交换平台系统方式，设置独立的数据采集服务器以及系统传输交换机，以高速可靠传输数据为基础，分配高效端口，接入一体化环境监测系统（IMMS）、压载控制系统（BCS）、外输辅助靠泊系统(TAS)、立管监测系统等各类系统，实现船体各系统资源利用，</w:t>
      </w:r>
      <w:r>
        <w:rPr>
          <w:rFonts w:hint="eastAsia" w:asciiTheme="minorHAnsi" w:hAnsiTheme="minorHAnsi" w:eastAsiaTheme="minorEastAsia" w:cstheme="minorBidi"/>
          <w:sz w:val="24"/>
          <w:szCs w:val="22"/>
        </w:rPr>
        <w:t>实现平台在安装、就位、生产、外输、风暴自存下的系统感知、远程监控。</w:t>
      </w:r>
    </w:p>
    <w:p>
      <w:pPr>
        <w:ind w:firstLine="600" w:firstLineChars="200"/>
        <w:rPr>
          <w:rFonts w:asciiTheme="minorHAnsi" w:hAnsiTheme="minorHAnsi" w:eastAsiaTheme="minorEastAsia" w:cstheme="minorBidi"/>
          <w:sz w:val="24"/>
          <w:szCs w:val="22"/>
        </w:rPr>
      </w:pPr>
      <w:r>
        <w:rPr>
          <w:rFonts w:ascii="仿宋_GB2312" w:hAnsi="仿宋_GB2312" w:eastAsia="仿宋_GB2312" w:cs="仿宋_GB2312"/>
          <w:sz w:val="30"/>
          <w:szCs w:val="30"/>
        </w:rPr>
        <w:drawing>
          <wp:inline distT="0" distB="0" distL="0" distR="0">
            <wp:extent cx="3724910" cy="1970405"/>
            <wp:effectExtent l="0" t="0" r="8890" b="0"/>
            <wp:docPr id="47033862" name="图片 4703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3862" name="图片 47033862"/>
                    <pic:cNvPicPr>
                      <a:picLocks noChangeAspect="1"/>
                    </pic:cNvPicPr>
                  </pic:nvPicPr>
                  <pic:blipFill>
                    <a:blip r:embed="rId12"/>
                    <a:stretch>
                      <a:fillRect/>
                    </a:stretch>
                  </pic:blipFill>
                  <pic:spPr>
                    <a:xfrm>
                      <a:off x="0" y="0"/>
                      <a:ext cx="3725053" cy="1970514"/>
                    </a:xfrm>
                    <a:prstGeom prst="rect">
                      <a:avLst/>
                    </a:prstGeom>
                    <a:ln>
                      <a:headEnd type="none" w="med" len="med"/>
                      <a:tailEnd type="none" w="med" len="med"/>
                    </a:ln>
                  </pic:spPr>
                </pic:pic>
              </a:graphicData>
            </a:graphic>
          </wp:inline>
        </w:drawing>
      </w:r>
    </w:p>
    <w:p>
      <w:pPr>
        <w:numPr>
          <w:ilvl w:val="0"/>
          <w:numId w:val="2"/>
        </w:numPr>
        <w:spacing w:line="440" w:lineRule="exact"/>
        <w:outlineLvl w:val="2"/>
        <w:rPr>
          <w:rFonts w:asciiTheme="minorHAnsi" w:hAnsiTheme="minorHAnsi" w:eastAsiaTheme="minorEastAsia" w:cstheme="minorBidi"/>
          <w:sz w:val="24"/>
          <w:szCs w:val="22"/>
          <w:highlight w:val="yellow"/>
        </w:rPr>
      </w:pPr>
      <w:r>
        <w:rPr>
          <w:rFonts w:hint="eastAsia" w:asciiTheme="minorHAnsi" w:hAnsiTheme="minorHAnsi" w:eastAsiaTheme="minorEastAsia" w:cstheme="minorBidi"/>
          <w:sz w:val="24"/>
          <w:szCs w:val="22"/>
          <w:highlight w:val="yellow"/>
        </w:rPr>
        <w:t>构建了大跨距超高强度轻量化桁架式组块设计技术</w:t>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（1）研发了大跨距轻量化桁架式在位设计技术</w:t>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通过引入船体等效模型，实现板壳结构与梁柱结构刚度顺滑连接，对平台结构及复杂水动力环境荷载的准确模拟，开发了大跨距桁架式组块结构的整体静力分析技术。</w:t>
      </w:r>
    </w:p>
    <w:p>
      <w:pPr>
        <w:ind w:left="902"/>
        <w:rPr>
          <w:rFonts w:ascii="宋体" w:hAnsi="宋体"/>
          <w:sz w:val="24"/>
        </w:rPr>
      </w:pPr>
      <w:r>
        <w:rPr>
          <w:rFonts w:ascii="宋体" w:hAnsi="宋体"/>
          <w:sz w:val="24"/>
        </w:rPr>
        <w:drawing>
          <wp:inline distT="0" distB="0" distL="0" distR="0">
            <wp:extent cx="2152650" cy="2057400"/>
            <wp:effectExtent l="0" t="0" r="0" b="0"/>
            <wp:docPr id="2437613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61328"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2650" cy="2057400"/>
                    </a:xfrm>
                    <a:prstGeom prst="rect">
                      <a:avLst/>
                    </a:prstGeom>
                    <a:noFill/>
                    <a:ln>
                      <a:noFill/>
                    </a:ln>
                  </pic:spPr>
                </pic:pic>
              </a:graphicData>
            </a:graphic>
          </wp:inline>
        </w:drawing>
      </w:r>
      <w:r>
        <w:rPr>
          <w:rFonts w:ascii="宋体" w:hAnsi="宋体"/>
          <w:sz w:val="24"/>
        </w:rPr>
        <w:t xml:space="preserve"> </w:t>
      </w:r>
      <w:r>
        <w:rPr>
          <w:rFonts w:ascii="宋体" w:hAnsi="宋体"/>
          <w:sz w:val="24"/>
        </w:rPr>
        <w:drawing>
          <wp:inline distT="0" distB="0" distL="0" distR="0">
            <wp:extent cx="1930400" cy="1612900"/>
            <wp:effectExtent l="0" t="0" r="0" b="6350"/>
            <wp:docPr id="742062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62982"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30400" cy="1612900"/>
                    </a:xfrm>
                    <a:prstGeom prst="rect">
                      <a:avLst/>
                    </a:prstGeom>
                    <a:noFill/>
                    <a:ln>
                      <a:noFill/>
                    </a:ln>
                  </pic:spPr>
                </pic:pic>
              </a:graphicData>
            </a:graphic>
          </wp:inline>
        </w:drawing>
      </w:r>
    </w:p>
    <w:p>
      <w:pPr>
        <w:spacing w:line="440" w:lineRule="exact"/>
        <w:ind w:firstLine="480" w:firstLineChars="200"/>
        <w:jc w:val="center"/>
        <w:rPr>
          <w:rFonts w:asciiTheme="minorHAnsi" w:hAnsiTheme="minorHAnsi" w:eastAsiaTheme="minorEastAsia" w:cstheme="minorBidi"/>
          <w:sz w:val="24"/>
        </w:rPr>
      </w:pPr>
      <w:r>
        <w:rPr>
          <w:rFonts w:hint="eastAsia" w:asciiTheme="minorHAnsi" w:hAnsiTheme="minorHAnsi" w:eastAsiaTheme="minorEastAsia" w:cstheme="minorBidi"/>
          <w:sz w:val="24"/>
        </w:rPr>
        <w:t>板壳结构等效模型</w:t>
      </w:r>
    </w:p>
    <w:p>
      <w:pPr>
        <w:jc w:val="center"/>
        <w:rPr>
          <w:rFonts w:ascii="宋体" w:hAnsi="宋体"/>
          <w:sz w:val="24"/>
        </w:rPr>
      </w:pPr>
      <w:r>
        <w:rPr>
          <w:rFonts w:ascii="宋体" w:hAnsi="宋体"/>
          <w:sz w:val="24"/>
        </w:rPr>
        <w:drawing>
          <wp:inline distT="0" distB="0" distL="0" distR="0">
            <wp:extent cx="2032635" cy="1276350"/>
            <wp:effectExtent l="0" t="0" r="5715" b="0"/>
            <wp:docPr id="19173896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89603"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37019" cy="1278713"/>
                    </a:xfrm>
                    <a:prstGeom prst="rect">
                      <a:avLst/>
                    </a:prstGeom>
                    <a:noFill/>
                    <a:ln>
                      <a:noFill/>
                    </a:ln>
                  </pic:spPr>
                </pic:pic>
              </a:graphicData>
            </a:graphic>
          </wp:inline>
        </w:drawing>
      </w:r>
      <w:r>
        <w:rPr>
          <w:rFonts w:ascii="宋体" w:hAnsi="宋体"/>
          <w:sz w:val="24"/>
        </w:rPr>
        <w:t xml:space="preserve"> </w:t>
      </w:r>
      <w:r>
        <w:rPr>
          <w:rFonts w:ascii="宋体" w:hAnsi="宋体"/>
          <w:sz w:val="24"/>
        </w:rPr>
        <w:drawing>
          <wp:inline distT="0" distB="0" distL="0" distR="0">
            <wp:extent cx="1631950" cy="1278255"/>
            <wp:effectExtent l="0" t="0" r="6350" b="0"/>
            <wp:docPr id="19985430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43024"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40326" cy="1285004"/>
                    </a:xfrm>
                    <a:prstGeom prst="rect">
                      <a:avLst/>
                    </a:prstGeom>
                    <a:noFill/>
                    <a:ln>
                      <a:noFill/>
                    </a:ln>
                  </pic:spPr>
                </pic:pic>
              </a:graphicData>
            </a:graphic>
          </wp:inline>
        </w:drawing>
      </w:r>
    </w:p>
    <w:p>
      <w:pPr>
        <w:spacing w:line="440" w:lineRule="exact"/>
        <w:ind w:firstLine="480" w:firstLineChars="200"/>
        <w:jc w:val="center"/>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波浪荷载精准传递</w:t>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采用分步叠加法，计入建造合龙过程对平台结构的影响，真实还原结构不同阶段的受力状态及内力重分布，该分步叠加法成功的应用，解决了模块结构模拟过程中应力释放问题，为结构的应力水平重新评估提供了一种新的途径。</w:t>
      </w:r>
    </w:p>
    <w:p>
      <w:pPr>
        <w:spacing w:line="440" w:lineRule="exact"/>
        <w:ind w:firstLine="480" w:firstLineChars="200"/>
        <w:jc w:val="center"/>
        <w:rPr>
          <w:rFonts w:asciiTheme="minorHAnsi" w:hAnsiTheme="minorHAnsi" w:eastAsiaTheme="minorEastAsia" w:cstheme="minorBidi"/>
          <w:sz w:val="24"/>
          <w:highlight w:val="cyan"/>
        </w:rPr>
      </w:pPr>
      <w:r>
        <w:rPr>
          <w:rFonts w:asciiTheme="minorHAnsi" w:hAnsiTheme="minorHAnsi" w:eastAsiaTheme="minorEastAsia" w:cstheme="minorBidi"/>
          <w:sz w:val="24"/>
          <w:highlight w:val="cyan"/>
        </w:rPr>
        <w:drawing>
          <wp:anchor distT="0" distB="0" distL="114300" distR="114300" simplePos="0" relativeHeight="251662336" behindDoc="0" locked="0" layoutInCell="1" allowOverlap="1">
            <wp:simplePos x="0" y="0"/>
            <wp:positionH relativeFrom="margin">
              <wp:posOffset>1342390</wp:posOffset>
            </wp:positionH>
            <wp:positionV relativeFrom="paragraph">
              <wp:posOffset>361315</wp:posOffset>
            </wp:positionV>
            <wp:extent cx="2651760" cy="2707005"/>
            <wp:effectExtent l="0" t="0" r="0" b="0"/>
            <wp:wrapTopAndBottom/>
            <wp:docPr id="12294285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28538"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51760" cy="2707005"/>
                    </a:xfrm>
                    <a:prstGeom prst="rect">
                      <a:avLst/>
                    </a:prstGeom>
                    <a:noFill/>
                  </pic:spPr>
                </pic:pic>
              </a:graphicData>
            </a:graphic>
          </wp:anchor>
        </w:drawing>
      </w:r>
    </w:p>
    <w:p>
      <w:pPr>
        <w:spacing w:line="440" w:lineRule="exact"/>
        <w:ind w:firstLine="480" w:firstLineChars="200"/>
        <w:jc w:val="center"/>
        <w:rPr>
          <w:rFonts w:asciiTheme="minorHAnsi" w:hAnsiTheme="minorHAnsi" w:eastAsiaTheme="minorEastAsia" w:cstheme="minorBidi"/>
          <w:color w:val="000000" w:themeColor="text1"/>
          <w:sz w:val="24"/>
          <w14:textFill>
            <w14:solidFill>
              <w14:schemeClr w14:val="tx1"/>
            </w14:solidFill>
          </w14:textFill>
        </w:rPr>
      </w:pPr>
      <w:r>
        <w:rPr>
          <w:rFonts w:hint="eastAsia" w:asciiTheme="minorHAnsi" w:hAnsiTheme="minorHAnsi" w:eastAsiaTheme="minorEastAsia" w:cstheme="minorBidi"/>
          <w:color w:val="000000" w:themeColor="text1"/>
          <w:sz w:val="24"/>
          <w14:textFill>
            <w14:solidFill>
              <w14:schemeClr w14:val="tx1"/>
            </w14:solidFill>
          </w14:textFill>
        </w:rPr>
        <w:t>分步叠加法模拟结构的建造状态</w:t>
      </w:r>
    </w:p>
    <w:p>
      <w:pPr>
        <w:spacing w:line="440" w:lineRule="exact"/>
        <w:ind w:firstLine="480" w:firstLineChars="200"/>
        <w:rPr>
          <w:rFonts w:asciiTheme="minorHAnsi" w:hAnsiTheme="minorHAnsi" w:eastAsiaTheme="minorEastAsia" w:cstheme="minorBidi"/>
          <w:color w:val="000000" w:themeColor="text1"/>
          <w:sz w:val="24"/>
          <w14:textFill>
            <w14:solidFill>
              <w14:schemeClr w14:val="tx1"/>
            </w14:solidFill>
          </w14:textFill>
        </w:rPr>
      </w:pPr>
      <w:r>
        <w:rPr>
          <w:rFonts w:hint="eastAsia" w:asciiTheme="minorHAnsi" w:hAnsiTheme="minorHAnsi" w:eastAsiaTheme="minorEastAsia" w:cstheme="minorBidi"/>
          <w:color w:val="000000" w:themeColor="text1"/>
          <w:sz w:val="24"/>
          <w14:textFill>
            <w14:solidFill>
              <w14:schemeClr w14:val="tx1"/>
            </w14:solidFill>
          </w14:textFill>
        </w:rPr>
        <w:t>依据半潜平台受力特点，综合谱疲劳及有限元分析方法，首次实现了对上部组块所有疲劳敏感部位的全覆盖。首次提出不可焊接区及荷载受限区的要求，保证组块疲劳满足服役要求。开创性地制定组块结构在位年度检验计划，保证平台服役期间运维的针对性和及时性。首次使用关键冗余杆件识别技术，保证分析的全面性、准确性，并大幅减低冗余分析耗时。</w:t>
      </w:r>
    </w:p>
    <w:p>
      <w:pPr>
        <w:pStyle w:val="28"/>
        <w:spacing w:line="440" w:lineRule="exact"/>
        <w:ind w:left="425" w:firstLine="0" w:firstLineChars="0"/>
        <w:rPr>
          <w:rFonts w:asciiTheme="minorHAnsi" w:hAnsiTheme="minorHAnsi" w:eastAsiaTheme="minorEastAsia" w:cstheme="minorBidi"/>
          <w:color w:val="000000" w:themeColor="text1"/>
          <w:sz w:val="24"/>
          <w14:textFill>
            <w14:solidFill>
              <w14:schemeClr w14:val="tx1"/>
            </w14:solidFill>
          </w14:textFill>
        </w:rPr>
      </w:pPr>
      <w:r>
        <w:rPr>
          <w:rFonts w:hint="eastAsia" w:asciiTheme="minorHAnsi" w:hAnsiTheme="minorHAnsi" w:eastAsiaTheme="minorEastAsia" w:cstheme="minorBidi"/>
          <w:color w:val="000000" w:themeColor="text1"/>
          <w:sz w:val="24"/>
          <w14:textFill>
            <w14:solidFill>
              <w14:schemeClr w14:val="tx1"/>
            </w14:solidFill>
          </w14:textFill>
        </w:rPr>
        <w:t>（2）研发了5</w:t>
      </w:r>
      <w:r>
        <w:rPr>
          <w:rFonts w:asciiTheme="minorHAnsi" w:hAnsiTheme="minorHAnsi" w:eastAsiaTheme="minorEastAsia" w:cstheme="minorBidi"/>
          <w:color w:val="000000" w:themeColor="text1"/>
          <w:sz w:val="24"/>
          <w14:textFill>
            <w14:solidFill>
              <w14:schemeClr w14:val="tx1"/>
            </w14:solidFill>
          </w14:textFill>
        </w:rPr>
        <w:t>0</w:t>
      </w:r>
      <w:r>
        <w:rPr>
          <w:rFonts w:hint="eastAsia" w:asciiTheme="minorHAnsi" w:hAnsiTheme="minorHAnsi" w:eastAsiaTheme="minorEastAsia" w:cstheme="minorBidi"/>
          <w:color w:val="000000" w:themeColor="text1"/>
          <w:sz w:val="24"/>
          <w14:textFill>
            <w14:solidFill>
              <w14:schemeClr w14:val="tx1"/>
            </w14:solidFill>
          </w14:textFill>
        </w:rPr>
        <w:t>米级跨度组块高精度吊装对接技术</w:t>
      </w:r>
    </w:p>
    <w:p>
      <w:pPr>
        <w:spacing w:line="440" w:lineRule="exact"/>
        <w:ind w:firstLine="480" w:firstLineChars="200"/>
        <w:rPr>
          <w:rFonts w:asciiTheme="minorHAnsi" w:hAnsiTheme="minorHAnsi" w:eastAsiaTheme="minorEastAsia" w:cstheme="minorBidi"/>
          <w:color w:val="000000" w:themeColor="text1"/>
          <w:sz w:val="24"/>
          <w14:textFill>
            <w14:solidFill>
              <w14:schemeClr w14:val="tx1"/>
            </w14:solidFill>
          </w14:textFill>
        </w:rPr>
      </w:pPr>
      <w:r>
        <w:rPr>
          <w:rFonts w:hint="eastAsia" w:asciiTheme="minorHAnsi" w:hAnsiTheme="minorHAnsi" w:eastAsiaTheme="minorEastAsia" w:cstheme="minorBidi"/>
          <w:color w:val="000000" w:themeColor="text1"/>
          <w:sz w:val="24"/>
          <w14:textFill>
            <w14:solidFill>
              <w14:schemeClr w14:val="tx1"/>
            </w14:solidFill>
          </w14:textFill>
        </w:rPr>
        <w:t>提出了适用于桁架式半潜平台主结构及合龙对接结构的精度控制指标，研发了组块合龙捕捉导向系统，成功实现了下浮体与上部组块间的毫米级对接。</w:t>
      </w:r>
    </w:p>
    <w:p>
      <w:pPr>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asciiTheme="minorHAnsi" w:hAnsiTheme="minorHAnsi" w:eastAsiaTheme="minorEastAsia" w:cstheme="minorBidi"/>
          <w:color w:val="000000" w:themeColor="text1"/>
          <w:sz w:val="24"/>
          <w14:textFill>
            <w14:solidFill>
              <w14:schemeClr w14:val="tx1"/>
            </w14:solidFill>
          </w14:textFill>
        </w:rPr>
        <w:drawing>
          <wp:anchor distT="0" distB="0" distL="114300" distR="114300" simplePos="0" relativeHeight="251664384" behindDoc="0" locked="0" layoutInCell="1" allowOverlap="1">
            <wp:simplePos x="0" y="0"/>
            <wp:positionH relativeFrom="margin">
              <wp:posOffset>3088005</wp:posOffset>
            </wp:positionH>
            <wp:positionV relativeFrom="paragraph">
              <wp:posOffset>1182370</wp:posOffset>
            </wp:positionV>
            <wp:extent cx="2107565" cy="2187575"/>
            <wp:effectExtent l="0" t="0" r="6985" b="3175"/>
            <wp:wrapTopAndBottom/>
            <wp:docPr id="59382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252"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07565" cy="2187575"/>
                    </a:xfrm>
                    <a:prstGeom prst="rect">
                      <a:avLst/>
                    </a:prstGeom>
                    <a:noFill/>
                  </pic:spPr>
                </pic:pic>
              </a:graphicData>
            </a:graphic>
          </wp:anchor>
        </w:drawing>
      </w:r>
      <w:r>
        <w:rPr>
          <w:rFonts w:asciiTheme="minorHAnsi" w:hAnsiTheme="minorHAnsi" w:eastAsiaTheme="minorEastAsia" w:cstheme="minorBidi"/>
          <w:color w:val="000000" w:themeColor="text1"/>
          <w:sz w:val="24"/>
          <w14:textFill>
            <w14:solidFill>
              <w14:schemeClr w14:val="tx1"/>
            </w14:solidFill>
          </w14:textFill>
        </w:rPr>
        <w:drawing>
          <wp:anchor distT="0" distB="0" distL="114300" distR="114300" simplePos="0" relativeHeight="251663360" behindDoc="0" locked="0" layoutInCell="1" allowOverlap="1">
            <wp:simplePos x="0" y="0"/>
            <wp:positionH relativeFrom="column">
              <wp:posOffset>215265</wp:posOffset>
            </wp:positionH>
            <wp:positionV relativeFrom="paragraph">
              <wp:posOffset>560070</wp:posOffset>
            </wp:positionV>
            <wp:extent cx="2813685" cy="2936875"/>
            <wp:effectExtent l="0" t="0" r="5715" b="0"/>
            <wp:wrapTopAndBottom/>
            <wp:docPr id="7746863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86373"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13685" cy="2936875"/>
                    </a:xfrm>
                    <a:prstGeom prst="rect">
                      <a:avLst/>
                    </a:prstGeom>
                    <a:noFill/>
                  </pic:spPr>
                </pic:pic>
              </a:graphicData>
            </a:graphic>
          </wp:anchor>
        </w:drawing>
      </w:r>
      <w:r>
        <w:rPr>
          <w:rFonts w:hint="eastAsia" w:ascii="宋体" w:hAnsi="宋体"/>
          <w:color w:val="000000" w:themeColor="text1"/>
          <w:sz w:val="24"/>
          <w14:textFill>
            <w14:solidFill>
              <w14:schemeClr w14:val="tx1"/>
            </w14:solidFill>
          </w14:textFill>
        </w:rPr>
        <w:t>利用多级平衡模拟方法，实现对龙门吊吊装能力及组块吊装姿态的精准评估和预测，成功实现了1</w:t>
      </w:r>
      <w:r>
        <w:rPr>
          <w:rFonts w:ascii="宋体" w:hAnsi="宋体"/>
          <w:color w:val="000000" w:themeColor="text1"/>
          <w:sz w:val="24"/>
          <w14:textFill>
            <w14:solidFill>
              <w14:schemeClr w14:val="tx1"/>
            </w14:solidFill>
          </w14:textFill>
        </w:rPr>
        <w:t>5000</w:t>
      </w:r>
      <w:r>
        <w:rPr>
          <w:rFonts w:hint="eastAsia" w:ascii="宋体" w:hAnsi="宋体"/>
          <w:color w:val="000000" w:themeColor="text1"/>
          <w:sz w:val="24"/>
          <w14:textFill>
            <w14:solidFill>
              <w14:schemeClr w14:val="tx1"/>
            </w14:solidFill>
          </w14:textFill>
        </w:rPr>
        <w:t>吨级的大型设施吊装就位及变形控制。</w:t>
      </w:r>
    </w:p>
    <w:p>
      <w:pPr>
        <w:spacing w:line="440" w:lineRule="exact"/>
        <w:ind w:firstLine="480" w:firstLineChars="200"/>
        <w:rPr>
          <w:rFonts w:asciiTheme="minorHAnsi" w:hAnsiTheme="minorHAnsi" w:eastAsiaTheme="minorEastAsia" w:cstheme="minorBidi"/>
          <w:color w:val="000000" w:themeColor="text1"/>
          <w:sz w:val="24"/>
          <w14:textFill>
            <w14:solidFill>
              <w14:schemeClr w14:val="tx1"/>
            </w14:solidFill>
          </w14:textFill>
        </w:rPr>
      </w:pPr>
      <w:r>
        <w:rPr>
          <w:rFonts w:hint="eastAsia" w:asciiTheme="minorHAnsi" w:hAnsiTheme="minorHAnsi" w:eastAsiaTheme="minorEastAsia" w:cstheme="minorBidi"/>
          <w:color w:val="000000" w:themeColor="text1"/>
          <w:sz w:val="24"/>
          <w14:textFill>
            <w14:solidFill>
              <w14:schemeClr w14:val="tx1"/>
            </w14:solidFill>
          </w14:textFill>
        </w:rPr>
        <w:t>采用全过程模拟方法，准确预测捕捉、下放过程中对接导向系统受载及平台开口的变化，保障了对接合龙的安全顺利实施。其中对接导向的特殊件设计，保证了组块与船体合拢对接时侧向位移控制、对接缓冲控制，成功实现了4</w:t>
      </w:r>
      <w:r>
        <w:rPr>
          <w:rFonts w:asciiTheme="minorHAnsi" w:hAnsiTheme="minorHAnsi" w:eastAsiaTheme="minorEastAsia" w:cstheme="minorBidi"/>
          <w:color w:val="000000" w:themeColor="text1"/>
          <w:sz w:val="24"/>
          <w14:textFill>
            <w14:solidFill>
              <w14:schemeClr w14:val="tx1"/>
            </w14:solidFill>
          </w14:textFill>
        </w:rPr>
        <w:t>0000</w:t>
      </w:r>
      <w:r>
        <w:rPr>
          <w:rFonts w:hint="eastAsia" w:asciiTheme="minorHAnsi" w:hAnsiTheme="minorHAnsi" w:eastAsiaTheme="minorEastAsia" w:cstheme="minorBidi"/>
          <w:color w:val="000000" w:themeColor="text1"/>
          <w:sz w:val="24"/>
          <w14:textFill>
            <w14:solidFill>
              <w14:schemeClr w14:val="tx1"/>
            </w14:solidFill>
          </w14:textFill>
        </w:rPr>
        <w:t>吨级结构物的吊装对接合拢。</w:t>
      </w:r>
    </w:p>
    <w:p>
      <w:pPr>
        <w:pStyle w:val="28"/>
        <w:spacing w:line="440" w:lineRule="exact"/>
        <w:ind w:left="425" w:firstLine="0" w:firstLineChars="0"/>
        <w:rPr>
          <w:rFonts w:asciiTheme="minorHAnsi" w:hAnsiTheme="minorHAnsi" w:eastAsiaTheme="minorEastAsia" w:cstheme="minorBidi"/>
          <w:color w:val="000000" w:themeColor="text1"/>
          <w:sz w:val="24"/>
          <w14:textFill>
            <w14:solidFill>
              <w14:schemeClr w14:val="tx1"/>
            </w14:solidFill>
          </w14:textFill>
        </w:rPr>
      </w:pPr>
      <w:r>
        <w:rPr>
          <w:rFonts w:hint="eastAsia" w:asciiTheme="minorHAnsi" w:hAnsiTheme="minorHAnsi" w:eastAsiaTheme="minorEastAsia" w:cstheme="minorBidi"/>
          <w:color w:val="000000" w:themeColor="text1"/>
          <w:sz w:val="24"/>
          <w14:textFill>
            <w14:solidFill>
              <w14:schemeClr w14:val="tx1"/>
            </w14:solidFill>
          </w14:textFill>
        </w:rPr>
        <w:t>（3）研发了浮式平台重量控制技术</w:t>
      </w:r>
    </w:p>
    <w:p>
      <w:pPr>
        <w:spacing w:line="440" w:lineRule="exact"/>
        <w:ind w:firstLine="480" w:firstLineChars="200"/>
        <w:rPr>
          <w:rFonts w:asciiTheme="minorHAnsi" w:hAnsiTheme="minorHAnsi" w:eastAsiaTheme="minorEastAsia" w:cstheme="minorBidi"/>
          <w:color w:val="000000" w:themeColor="text1"/>
          <w:sz w:val="24"/>
          <w14:textFill>
            <w14:solidFill>
              <w14:schemeClr w14:val="tx1"/>
            </w14:solidFill>
          </w14:textFill>
        </w:rPr>
      </w:pPr>
      <w:r>
        <w:rPr>
          <w:rFonts w:hint="eastAsia" w:asciiTheme="minorHAnsi" w:hAnsiTheme="minorHAnsi" w:eastAsiaTheme="minorEastAsia" w:cstheme="minorBidi"/>
          <w:color w:val="000000" w:themeColor="text1"/>
          <w:sz w:val="24"/>
          <w14:textFill>
            <w14:solidFill>
              <w14:schemeClr w14:val="tx1"/>
            </w14:solidFill>
          </w14:textFill>
        </w:rPr>
        <w:t>首次采用目标分解方法，以重量为导向，以工艺为源头进行重量控制方案的实施，建立重控管理台账，重控定期审查机制，实现了组块建设过程中重控全周期精</w:t>
      </w:r>
      <w:r>
        <w:rPr>
          <w:rFonts w:asciiTheme="minorHAnsi" w:hAnsiTheme="minorHAnsi" w:eastAsiaTheme="minorEastAsia" w:cstheme="minorBidi"/>
          <w:color w:val="000000" w:themeColor="text1"/>
          <w:sz w:val="24"/>
          <w14:textFill>
            <w14:solidFill>
              <w14:schemeClr w14:val="tx1"/>
            </w14:solidFill>
          </w14:textFill>
        </w:rPr>
        <w:drawing>
          <wp:anchor distT="0" distB="0" distL="114300" distR="114300" simplePos="0" relativeHeight="251666432" behindDoc="0" locked="0" layoutInCell="1" allowOverlap="1">
            <wp:simplePos x="0" y="0"/>
            <wp:positionH relativeFrom="margin">
              <wp:align>right</wp:align>
            </wp:positionH>
            <wp:positionV relativeFrom="paragraph">
              <wp:posOffset>356870</wp:posOffset>
            </wp:positionV>
            <wp:extent cx="2376170" cy="1590675"/>
            <wp:effectExtent l="0" t="0" r="5080" b="9525"/>
            <wp:wrapTopAndBottom/>
            <wp:docPr id="775475641" name="图片 12"/>
            <wp:cNvGraphicFramePr/>
            <a:graphic xmlns:a="http://schemas.openxmlformats.org/drawingml/2006/main">
              <a:graphicData uri="http://schemas.openxmlformats.org/drawingml/2006/picture">
                <pic:pic xmlns:pic="http://schemas.openxmlformats.org/drawingml/2006/picture">
                  <pic:nvPicPr>
                    <pic:cNvPr id="775475641" name="图片 1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76170" cy="1590675"/>
                    </a:xfrm>
                    <a:prstGeom prst="rect">
                      <a:avLst/>
                    </a:prstGeom>
                    <a:noFill/>
                    <a:ln>
                      <a:noFill/>
                    </a:ln>
                  </pic:spPr>
                </pic:pic>
              </a:graphicData>
            </a:graphic>
          </wp:anchor>
        </w:drawing>
      </w:r>
      <w:r>
        <w:rPr>
          <w:rFonts w:asciiTheme="minorHAnsi" w:hAnsiTheme="minorHAnsi" w:eastAsiaTheme="minorEastAsia" w:cstheme="minorBidi"/>
          <w:color w:val="000000" w:themeColor="text1"/>
          <w:sz w:val="24"/>
          <w14:textFill>
            <w14:solidFill>
              <w14:schemeClr w14:val="tx1"/>
            </w14:solidFill>
          </w14:textFill>
        </w:rPr>
        <w:drawing>
          <wp:anchor distT="0" distB="0" distL="114300" distR="114300" simplePos="0" relativeHeight="251665408" behindDoc="0" locked="0" layoutInCell="1" allowOverlap="1">
            <wp:simplePos x="0" y="0"/>
            <wp:positionH relativeFrom="margin">
              <wp:align>left</wp:align>
            </wp:positionH>
            <wp:positionV relativeFrom="paragraph">
              <wp:posOffset>375920</wp:posOffset>
            </wp:positionV>
            <wp:extent cx="3032125" cy="1589405"/>
            <wp:effectExtent l="0" t="0" r="0" b="0"/>
            <wp:wrapTopAndBottom/>
            <wp:docPr id="2841236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23679"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32125" cy="1589405"/>
                    </a:xfrm>
                    <a:prstGeom prst="rect">
                      <a:avLst/>
                    </a:prstGeom>
                    <a:noFill/>
                    <a:ln>
                      <a:noFill/>
                    </a:ln>
                  </pic:spPr>
                </pic:pic>
              </a:graphicData>
            </a:graphic>
          </wp:anchor>
        </w:drawing>
      </w:r>
      <w:r>
        <w:rPr>
          <w:rFonts w:hint="eastAsia" w:asciiTheme="minorHAnsi" w:hAnsiTheme="minorHAnsi" w:eastAsiaTheme="minorEastAsia" w:cstheme="minorBidi"/>
          <w:color w:val="000000" w:themeColor="text1"/>
          <w:sz w:val="24"/>
          <w14:textFill>
            <w14:solidFill>
              <w14:schemeClr w14:val="tx1"/>
            </w14:solidFill>
          </w14:textFill>
        </w:rPr>
        <w:t>细化管理，组块最终称重与理论重量相差1%以内。</w:t>
      </w:r>
    </w:p>
    <w:p>
      <w:pPr>
        <w:numPr>
          <w:ilvl w:val="0"/>
          <w:numId w:val="2"/>
        </w:numPr>
        <w:spacing w:line="440" w:lineRule="exact"/>
        <w:outlineLvl w:val="2"/>
        <w:rPr>
          <w:rFonts w:asciiTheme="minorHAnsi" w:hAnsiTheme="minorHAnsi" w:eastAsiaTheme="minorEastAsia" w:cstheme="minorBidi"/>
          <w:sz w:val="24"/>
          <w:szCs w:val="22"/>
          <w:highlight w:val="yellow"/>
        </w:rPr>
      </w:pPr>
      <w:r>
        <w:rPr>
          <w:rFonts w:hint="eastAsia" w:asciiTheme="minorHAnsi" w:hAnsiTheme="minorHAnsi" w:eastAsiaTheme="minorEastAsia" w:cstheme="minorBidi"/>
          <w:sz w:val="24"/>
          <w:szCs w:val="22"/>
          <w:highlight w:val="yellow"/>
        </w:rPr>
        <w:t>首次提出了高阶非线性气隙响应预报方法</w:t>
      </w:r>
    </w:p>
    <w:p>
      <w:pPr>
        <w:spacing w:line="440" w:lineRule="exact"/>
        <w:ind w:firstLine="480" w:firstLineChars="200"/>
        <w:rPr>
          <w:rFonts w:asciiTheme="minorHAnsi" w:hAnsiTheme="minorHAnsi" w:eastAsiaTheme="minorEastAsia" w:cstheme="minorBidi"/>
          <w:color w:val="FF0000"/>
          <w:sz w:val="24"/>
          <w:szCs w:val="22"/>
        </w:rPr>
      </w:pPr>
      <w:bookmarkStart w:id="0" w:name="_Hlk141306188"/>
      <w:r>
        <w:rPr>
          <w:rFonts w:hint="eastAsia" w:asciiTheme="minorHAnsi" w:hAnsiTheme="minorHAnsi" w:eastAsiaTheme="minorEastAsia" w:cstheme="minorBidi"/>
          <w:color w:val="FF0000"/>
          <w:sz w:val="24"/>
          <w:szCs w:val="22"/>
        </w:rPr>
        <w:t>(</w:t>
      </w:r>
      <w:r>
        <w:rPr>
          <w:rFonts w:asciiTheme="minorHAnsi" w:hAnsiTheme="minorHAnsi" w:eastAsiaTheme="minorEastAsia" w:cstheme="minorBidi"/>
          <w:color w:val="FF0000"/>
          <w:sz w:val="24"/>
          <w:szCs w:val="22"/>
        </w:rPr>
        <w:t>1)</w:t>
      </w:r>
      <w:r>
        <w:rPr>
          <w:rFonts w:hint="eastAsia" w:asciiTheme="minorHAnsi" w:hAnsiTheme="minorHAnsi" w:eastAsiaTheme="minorEastAsia" w:cstheme="minorBidi"/>
          <w:sz w:val="24"/>
          <w:szCs w:val="22"/>
        </w:rPr>
        <w:t xml:space="preserve"> </w:t>
      </w:r>
      <w:r>
        <w:rPr>
          <w:rFonts w:asciiTheme="minorHAnsi" w:hAnsiTheme="minorHAnsi" w:eastAsiaTheme="minorEastAsia" w:cstheme="minorBidi"/>
          <w:color w:val="FF0000"/>
          <w:sz w:val="24"/>
          <w:szCs w:val="22"/>
        </w:rPr>
        <w:t>创新提出了半潜平台在极端波浪作用下气隙非线性响应分析方法</w:t>
      </w:r>
    </w:p>
    <w:bookmarkEnd w:id="0"/>
    <w:p>
      <w:pPr>
        <w:spacing w:line="440" w:lineRule="exact"/>
        <w:ind w:firstLine="480" w:firstLineChars="200"/>
        <w:rPr>
          <w:rFonts w:asciiTheme="minorHAnsi" w:hAnsiTheme="minorHAnsi" w:eastAsiaTheme="minorEastAsia" w:cstheme="minorBidi"/>
          <w:color w:val="FF0000"/>
          <w:sz w:val="24"/>
          <w:szCs w:val="22"/>
        </w:rPr>
      </w:pPr>
      <w:r>
        <w:rPr>
          <w:rFonts w:hint="eastAsia" w:asciiTheme="minorHAnsi" w:hAnsiTheme="minorHAnsi" w:eastAsiaTheme="minorEastAsia" w:cstheme="minorBidi"/>
          <w:color w:val="FF0000"/>
          <w:sz w:val="24"/>
          <w:szCs w:val="22"/>
        </w:rPr>
        <w:t>随着海洋开发朝深海以及超深海发展，超强台风等极具破坏力的极端海况近年来频繁出现，对平台的安全性提出了严峻挑战。由于大量的生产设备和为船员提供的住所等均位于主甲板处，波浪砰击主甲板和越浪等强非线性现象的发生都将给这些设备带来不利的影响，严重时可能引起平台结构的破坏以及平台整体倾覆。因此，气隙性能一直是半潜平台设计过程中一个关键问题。</w:t>
      </w:r>
    </w:p>
    <w:p>
      <w:pPr>
        <w:spacing w:line="440" w:lineRule="exact"/>
        <w:ind w:firstLine="480" w:firstLineChars="200"/>
        <w:rPr>
          <w:rFonts w:asciiTheme="minorHAnsi" w:hAnsiTheme="minorHAnsi" w:eastAsiaTheme="minorEastAsia" w:cstheme="minorBidi"/>
          <w:color w:val="FF0000"/>
          <w:sz w:val="24"/>
          <w:szCs w:val="22"/>
        </w:rPr>
      </w:pPr>
      <w:r>
        <w:rPr>
          <w:rFonts w:hint="eastAsia" w:asciiTheme="minorHAnsi" w:hAnsiTheme="minorHAnsi" w:eastAsiaTheme="minorEastAsia" w:cstheme="minorBidi"/>
          <w:color w:val="FF0000"/>
          <w:sz w:val="24"/>
          <w:szCs w:val="22"/>
        </w:rPr>
        <w:t>对于半潜式平台而言，极端波浪与平台之间的耦合运动将使波浪的非线性效应显著加强，波浪绕射产生的波浪力对平台运动响应具有显著的影响，波浪绕射和辐射对局部的波面升高也有显著的影响，加之平台的系泊与立管系统动力耦合大大增加了理论预报的难度，因此在半潜平台的设计阶段，对其</w:t>
      </w:r>
      <w:r>
        <w:rPr>
          <w:rFonts w:asciiTheme="minorHAnsi" w:hAnsiTheme="minorHAnsi" w:eastAsiaTheme="minorEastAsia" w:cstheme="minorBidi"/>
          <w:color w:val="FF0000"/>
          <w:sz w:val="24"/>
          <w:szCs w:val="22"/>
        </w:rPr>
        <w:t>气隙响应</w:t>
      </w:r>
      <w:r>
        <w:rPr>
          <w:rFonts w:hint="eastAsia" w:asciiTheme="minorHAnsi" w:hAnsiTheme="minorHAnsi" w:eastAsiaTheme="minorEastAsia" w:cstheme="minorBidi"/>
          <w:color w:val="FF0000"/>
          <w:sz w:val="24"/>
          <w:szCs w:val="22"/>
        </w:rPr>
        <w:t>进行准确数值预报十分困难。</w:t>
      </w:r>
    </w:p>
    <w:p>
      <w:pPr>
        <w:spacing w:line="440" w:lineRule="exact"/>
        <w:ind w:firstLine="480" w:firstLineChars="200"/>
        <w:rPr>
          <w:rFonts w:asciiTheme="minorHAnsi" w:hAnsiTheme="minorHAnsi" w:eastAsiaTheme="minorEastAsia" w:cstheme="minorBidi"/>
          <w:color w:val="FF0000"/>
          <w:sz w:val="24"/>
          <w:szCs w:val="22"/>
        </w:rPr>
      </w:pPr>
      <w:r>
        <w:rPr>
          <w:rFonts w:hint="eastAsia" w:asciiTheme="minorHAnsi" w:hAnsiTheme="minorHAnsi" w:eastAsiaTheme="minorEastAsia" w:cstheme="minorBidi"/>
          <w:color w:val="FF0000"/>
          <w:sz w:val="24"/>
          <w:szCs w:val="22"/>
        </w:rPr>
        <w:t>项目组针对平台自身的主体参数（如重量大小、中心位置、水线面、立柱和下浮体的形状与立柱间距等因素），系泊系统的固有特性以及外部海洋环境（如波浪）带来的气隙响应的复杂性，创新提出半潜平台在极端波浪作用下的气隙非线性响应分析方法，</w:t>
      </w:r>
      <w:r>
        <w:rPr>
          <w:rFonts w:asciiTheme="minorHAnsi" w:hAnsiTheme="minorHAnsi" w:eastAsiaTheme="minorEastAsia" w:cstheme="minorBidi"/>
          <w:color w:val="FF0000"/>
          <w:sz w:val="24"/>
          <w:szCs w:val="22"/>
        </w:rPr>
        <w:t>对气隙响应的非线性成分进行分解，并基于“Flat QTF”假设获得了模型试验中平台气隙响应的二阶响应函数</w:t>
      </w:r>
      <w:r>
        <w:rPr>
          <w:rFonts w:hint="eastAsia" w:asciiTheme="minorHAnsi" w:hAnsiTheme="minorHAnsi" w:eastAsiaTheme="minorEastAsia" w:cstheme="minorBidi"/>
          <w:color w:val="FF0000"/>
          <w:sz w:val="24"/>
          <w:szCs w:val="22"/>
        </w:rPr>
        <w:t>。</w:t>
      </w:r>
    </w:p>
    <w:p>
      <w:pPr>
        <w:rPr>
          <w:rFonts w:asciiTheme="minorHAnsi" w:hAnsiTheme="minorHAnsi" w:eastAsiaTheme="minorEastAsia" w:cstheme="minorBidi"/>
          <w:color w:val="FF0000"/>
          <w:sz w:val="24"/>
          <w:szCs w:val="22"/>
        </w:rPr>
      </w:pPr>
      <w:r>
        <w:drawing>
          <wp:inline distT="0" distB="0" distL="0" distR="0">
            <wp:extent cx="5400040" cy="2298065"/>
            <wp:effectExtent l="0" t="0" r="0" b="6985"/>
            <wp:docPr id="624249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49991" name="图片 1"/>
                    <pic:cNvPicPr>
                      <a:picLocks noChangeAspect="1"/>
                    </pic:cNvPicPr>
                  </pic:nvPicPr>
                  <pic:blipFill>
                    <a:blip r:embed="rId22"/>
                    <a:stretch>
                      <a:fillRect/>
                    </a:stretch>
                  </pic:blipFill>
                  <pic:spPr>
                    <a:xfrm>
                      <a:off x="0" y="0"/>
                      <a:ext cx="5400040" cy="2298065"/>
                    </a:xfrm>
                    <a:prstGeom prst="rect">
                      <a:avLst/>
                    </a:prstGeom>
                  </pic:spPr>
                </pic:pic>
              </a:graphicData>
            </a:graphic>
          </wp:inline>
        </w:drawing>
      </w:r>
    </w:p>
    <w:p>
      <w:pPr>
        <w:jc w:val="center"/>
        <w:rPr>
          <w:rFonts w:asciiTheme="minorHAnsi" w:hAnsiTheme="minorHAnsi" w:eastAsiaTheme="minorEastAsia" w:cstheme="minorBidi"/>
          <w:color w:val="FF0000"/>
          <w:sz w:val="24"/>
          <w:szCs w:val="22"/>
        </w:rPr>
      </w:pPr>
      <w:r>
        <w:rPr>
          <w:rFonts w:hint="eastAsia" w:asciiTheme="minorHAnsi" w:hAnsiTheme="minorHAnsi" w:eastAsiaTheme="minorEastAsia" w:cstheme="minorBidi"/>
          <w:color w:val="FF0000"/>
          <w:sz w:val="24"/>
          <w:szCs w:val="22"/>
        </w:rPr>
        <w:t xml:space="preserve">图 </w:t>
      </w:r>
      <w:r>
        <w:rPr>
          <w:rFonts w:asciiTheme="minorHAnsi" w:hAnsiTheme="minorHAnsi" w:eastAsiaTheme="minorEastAsia" w:cstheme="minorBidi"/>
          <w:color w:val="FF0000"/>
          <w:sz w:val="24"/>
          <w:szCs w:val="22"/>
        </w:rPr>
        <w:t>半潜平台气隙响应的线性与二阶非线性传递函数</w:t>
      </w:r>
    </w:p>
    <w:p>
      <w:pPr>
        <w:spacing w:line="440" w:lineRule="exact"/>
        <w:ind w:firstLine="480" w:firstLineChars="200"/>
        <w:rPr>
          <w:rFonts w:asciiTheme="minorHAnsi" w:hAnsiTheme="minorHAnsi" w:eastAsiaTheme="minorEastAsia" w:cstheme="minorBidi"/>
          <w:color w:val="FF0000"/>
          <w:sz w:val="24"/>
          <w:szCs w:val="22"/>
        </w:rPr>
      </w:pPr>
      <w:r>
        <w:rPr>
          <w:rFonts w:hint="eastAsia" w:asciiTheme="minorHAnsi" w:hAnsiTheme="minorHAnsi" w:eastAsiaTheme="minorEastAsia" w:cstheme="minorBidi"/>
          <w:color w:val="FF0000"/>
          <w:sz w:val="24"/>
          <w:szCs w:val="22"/>
        </w:rPr>
        <w:t>(</w:t>
      </w:r>
      <w:r>
        <w:rPr>
          <w:rFonts w:asciiTheme="minorHAnsi" w:hAnsiTheme="minorHAnsi" w:eastAsiaTheme="minorEastAsia" w:cstheme="minorBidi"/>
          <w:color w:val="FF0000"/>
          <w:sz w:val="24"/>
          <w:szCs w:val="22"/>
        </w:rPr>
        <w:t>2)</w:t>
      </w:r>
      <w:r>
        <w:rPr>
          <w:rFonts w:hint="eastAsia" w:asciiTheme="minorHAnsi" w:hAnsiTheme="minorHAnsi" w:eastAsiaTheme="minorEastAsia" w:cstheme="minorBidi"/>
          <w:color w:val="FF0000"/>
          <w:sz w:val="24"/>
          <w:szCs w:val="22"/>
        </w:rPr>
        <w:t xml:space="preserve"> 创新提出</w:t>
      </w:r>
      <w:r>
        <w:rPr>
          <w:rFonts w:asciiTheme="minorHAnsi" w:hAnsiTheme="minorHAnsi" w:eastAsiaTheme="minorEastAsia" w:cstheme="minorBidi"/>
          <w:color w:val="FF0000"/>
          <w:sz w:val="24"/>
          <w:szCs w:val="22"/>
        </w:rPr>
        <w:t>四相位分解方法</w:t>
      </w:r>
      <w:r>
        <w:rPr>
          <w:rFonts w:hint="eastAsia" w:asciiTheme="minorHAnsi" w:hAnsiTheme="minorHAnsi" w:eastAsiaTheme="minorEastAsia" w:cstheme="minorBidi"/>
          <w:color w:val="FF0000"/>
          <w:sz w:val="24"/>
          <w:szCs w:val="22"/>
        </w:rPr>
        <w:t>的气隙高阶非线性预报方法</w:t>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color w:val="FF0000"/>
          <w:sz w:val="24"/>
          <w:szCs w:val="22"/>
        </w:rPr>
        <w:t>针对一阶势流理论的预报方法因其线性简化严重低估波面升高，而二阶非线性的预报方法往往会过高估计其气隙响应，从而造成预报结果与实际差异较大，不能满足平台安全性的要求的问题</w:t>
      </w:r>
      <w:r>
        <w:rPr>
          <w:rFonts w:hint="eastAsia" w:asciiTheme="minorHAnsi" w:hAnsiTheme="minorHAnsi" w:eastAsiaTheme="minorEastAsia" w:cstheme="minorBidi"/>
          <w:sz w:val="24"/>
          <w:szCs w:val="22"/>
        </w:rPr>
        <w:t>。</w:t>
      </w:r>
    </w:p>
    <w:p>
      <w:pPr>
        <w:spacing w:line="440" w:lineRule="exact"/>
        <w:ind w:firstLine="480" w:firstLineChars="200"/>
        <w:rPr>
          <w:rFonts w:asciiTheme="minorHAnsi" w:hAnsiTheme="minorHAnsi" w:eastAsiaTheme="minorEastAsia" w:cstheme="minorBidi"/>
          <w:color w:val="FF0000"/>
          <w:sz w:val="24"/>
          <w:szCs w:val="22"/>
        </w:rPr>
      </w:pPr>
      <w:r>
        <w:rPr>
          <w:rFonts w:hint="eastAsia" w:asciiTheme="minorHAnsi" w:hAnsiTheme="minorHAnsi" w:eastAsiaTheme="minorEastAsia" w:cstheme="minorBidi"/>
          <w:color w:val="FF0000"/>
          <w:sz w:val="24"/>
          <w:szCs w:val="22"/>
        </w:rPr>
        <w:t>项目组基于</w:t>
      </w:r>
      <w:r>
        <w:rPr>
          <w:rFonts w:asciiTheme="minorHAnsi" w:hAnsiTheme="minorHAnsi" w:eastAsiaTheme="minorEastAsia" w:cstheme="minorBidi"/>
          <w:color w:val="FF0000"/>
          <w:sz w:val="24"/>
          <w:szCs w:val="22"/>
        </w:rPr>
        <w:t>渐近展开理论，平台气隙响应可以写为线性分量及其高阶谐波分量（同时也表征其高阶非线性）的形式</w:t>
      </w:r>
      <w:r>
        <w:rPr>
          <w:rFonts w:hint="eastAsia" w:asciiTheme="minorHAnsi" w:hAnsiTheme="minorHAnsi" w:eastAsiaTheme="minorEastAsia" w:cstheme="minorBidi"/>
          <w:color w:val="FF0000"/>
          <w:sz w:val="24"/>
          <w:szCs w:val="22"/>
        </w:rPr>
        <w:t>，</w:t>
      </w:r>
      <w:r>
        <w:rPr>
          <w:rFonts w:asciiTheme="minorHAnsi" w:hAnsiTheme="minorHAnsi" w:eastAsiaTheme="minorEastAsia" w:cstheme="minorBidi"/>
          <w:color w:val="FF0000"/>
          <w:sz w:val="24"/>
          <w:szCs w:val="22"/>
        </w:rPr>
        <w:t>通过逆相位分解方法，能够分别将气隙响应中的偶数和奇数响应分量进行分解。</w:t>
      </w:r>
      <w:r>
        <w:rPr>
          <w:rFonts w:hint="eastAsia" w:asciiTheme="minorHAnsi" w:hAnsiTheme="minorHAnsi" w:eastAsiaTheme="minorEastAsia" w:cstheme="minorBidi"/>
          <w:color w:val="FF0000"/>
          <w:sz w:val="24"/>
          <w:szCs w:val="22"/>
        </w:rPr>
        <w:t>针对</w:t>
      </w:r>
      <w:r>
        <w:rPr>
          <w:rFonts w:asciiTheme="minorHAnsi" w:hAnsiTheme="minorHAnsi" w:eastAsiaTheme="minorEastAsia" w:cstheme="minorBidi"/>
          <w:color w:val="FF0000"/>
          <w:sz w:val="24"/>
          <w:szCs w:val="22"/>
        </w:rPr>
        <w:t>在实际海洋中，波浪谱存在一定频谱宽度，会导致其不同谐波阶数的气隙响应重合，难以分离</w:t>
      </w:r>
      <w:r>
        <w:rPr>
          <w:rFonts w:hint="eastAsia" w:asciiTheme="minorHAnsi" w:hAnsiTheme="minorHAnsi" w:eastAsiaTheme="minorEastAsia" w:cstheme="minorBidi"/>
          <w:color w:val="FF0000"/>
          <w:sz w:val="24"/>
          <w:szCs w:val="22"/>
        </w:rPr>
        <w:t>的情况，本方法</w:t>
      </w:r>
      <w:bookmarkStart w:id="1" w:name="_Hlk141305629"/>
      <w:r>
        <w:rPr>
          <w:rFonts w:asciiTheme="minorHAnsi" w:hAnsiTheme="minorHAnsi" w:eastAsiaTheme="minorEastAsia" w:cstheme="minorBidi"/>
          <w:color w:val="FF0000"/>
          <w:sz w:val="24"/>
          <w:szCs w:val="22"/>
        </w:rPr>
        <w:t>通过理论分析，改进其为四相位分解方法，对各阶谐波分量进行分离</w:t>
      </w:r>
      <w:bookmarkEnd w:id="1"/>
      <w:r>
        <w:rPr>
          <w:rFonts w:hint="eastAsia" w:asciiTheme="minorHAnsi" w:hAnsiTheme="minorHAnsi" w:eastAsiaTheme="minorEastAsia" w:cstheme="minorBidi"/>
          <w:color w:val="FF0000"/>
          <w:sz w:val="24"/>
          <w:szCs w:val="22"/>
        </w:rPr>
        <w:t>，</w:t>
      </w:r>
      <w:r>
        <w:rPr>
          <w:rFonts w:asciiTheme="minorHAnsi" w:hAnsiTheme="minorHAnsi" w:eastAsiaTheme="minorEastAsia" w:cstheme="minorBidi"/>
          <w:color w:val="FF0000"/>
          <w:sz w:val="24"/>
          <w:szCs w:val="22"/>
        </w:rPr>
        <w:t>结合数值方法、模型试验以及理论分析，</w:t>
      </w:r>
      <w:r>
        <w:rPr>
          <w:rFonts w:hint="eastAsia" w:asciiTheme="minorHAnsi" w:hAnsiTheme="minorHAnsi" w:eastAsiaTheme="minorEastAsia" w:cstheme="minorBidi"/>
          <w:color w:val="FF0000"/>
          <w:sz w:val="24"/>
          <w:szCs w:val="22"/>
        </w:rPr>
        <w:t>对极端波浪</w:t>
      </w:r>
      <w:r>
        <w:rPr>
          <w:rFonts w:asciiTheme="minorHAnsi" w:hAnsiTheme="minorHAnsi" w:eastAsiaTheme="minorEastAsia" w:cstheme="minorBidi"/>
          <w:color w:val="FF0000"/>
          <w:sz w:val="24"/>
          <w:szCs w:val="22"/>
        </w:rPr>
        <w:t>作用下半潜平台的气隙响应可以进行较为准确的预报。</w:t>
      </w:r>
    </w:p>
    <w:p>
      <w:pPr>
        <w:rPr>
          <w:rFonts w:asciiTheme="minorHAnsi" w:hAnsiTheme="minorHAnsi" w:eastAsiaTheme="minorEastAsia" w:cstheme="minorBidi"/>
          <w:color w:val="FF0000"/>
          <w:sz w:val="24"/>
          <w:szCs w:val="22"/>
        </w:rPr>
      </w:pPr>
      <w:r>
        <w:drawing>
          <wp:inline distT="0" distB="0" distL="0" distR="0">
            <wp:extent cx="4876800" cy="2270125"/>
            <wp:effectExtent l="0" t="0" r="0" b="0"/>
            <wp:docPr id="947034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34408" name="图片 1"/>
                    <pic:cNvPicPr>
                      <a:picLocks noChangeAspect="1"/>
                    </pic:cNvPicPr>
                  </pic:nvPicPr>
                  <pic:blipFill>
                    <a:blip r:embed="rId23"/>
                    <a:stretch>
                      <a:fillRect/>
                    </a:stretch>
                  </pic:blipFill>
                  <pic:spPr>
                    <a:xfrm>
                      <a:off x="0" y="0"/>
                      <a:ext cx="4894638" cy="2278677"/>
                    </a:xfrm>
                    <a:prstGeom prst="rect">
                      <a:avLst/>
                    </a:prstGeom>
                  </pic:spPr>
                </pic:pic>
              </a:graphicData>
            </a:graphic>
          </wp:inline>
        </w:drawing>
      </w:r>
    </w:p>
    <w:p>
      <w:pPr>
        <w:jc w:val="center"/>
        <w:rPr>
          <w:rFonts w:asciiTheme="minorHAnsi" w:hAnsiTheme="minorHAnsi" w:eastAsiaTheme="minorEastAsia" w:cstheme="minorBidi"/>
          <w:color w:val="FF0000"/>
          <w:sz w:val="24"/>
          <w:szCs w:val="22"/>
        </w:rPr>
      </w:pPr>
      <w:bookmarkStart w:id="2" w:name="_Hlk141305836"/>
      <w:r>
        <w:rPr>
          <w:rFonts w:asciiTheme="minorHAnsi" w:hAnsiTheme="minorHAnsi" w:eastAsiaTheme="minorEastAsia" w:cstheme="minorBidi"/>
          <w:color w:val="FF0000"/>
          <w:sz w:val="24"/>
          <w:szCs w:val="22"/>
        </w:rPr>
        <w:t>图  逆相位分解后的半潜平台气隙响应谱</w:t>
      </w:r>
      <w:bookmarkEnd w:id="2"/>
    </w:p>
    <w:p>
      <w:pPr>
        <w:spacing w:line="440" w:lineRule="exact"/>
        <w:ind w:firstLine="480" w:firstLineChars="200"/>
        <w:rPr>
          <w:rFonts w:hint="eastAsia" w:eastAsia="宋体"/>
          <w:color w:val="FF0000"/>
          <w:lang w:eastAsia="zh-CN"/>
        </w:rPr>
      </w:pPr>
      <w:r>
        <w:rPr>
          <w:rFonts w:ascii="宋体" w:hAnsi="宋体"/>
          <w:color w:val="FF0000"/>
          <w:sz w:val="24"/>
          <w:szCs w:val="24"/>
        </w:rPr>
        <w:t>随机</w:t>
      </w:r>
      <w:r>
        <w:rPr>
          <w:rFonts w:hint="eastAsia" w:ascii="宋体" w:hAnsi="宋体"/>
          <w:color w:val="FF0000"/>
          <w:sz w:val="24"/>
          <w:szCs w:val="24"/>
        </w:rPr>
        <w:t>波浪</w:t>
      </w:r>
      <w:r>
        <w:rPr>
          <w:rFonts w:ascii="宋体" w:hAnsi="宋体"/>
          <w:color w:val="FF0000"/>
          <w:sz w:val="24"/>
          <w:szCs w:val="24"/>
        </w:rPr>
        <w:t>作用下平台气隙响应极值并不是所有因素极值的完全线性叠加，</w:t>
      </w:r>
    </w:p>
    <w:p>
      <w:pPr>
        <w:spacing w:line="440" w:lineRule="exact"/>
        <w:ind w:firstLine="480" w:firstLineChars="200"/>
        <w:rPr>
          <w:rFonts w:hint="eastAsia" w:eastAsia="宋体"/>
          <w:color w:val="FF0000"/>
          <w:lang w:eastAsia="zh-CN"/>
        </w:rPr>
      </w:pPr>
      <w:r>
        <w:rPr>
          <w:rFonts w:ascii="宋体" w:hAnsi="宋体"/>
          <w:color w:val="FF0000"/>
          <w:sz w:val="24"/>
          <w:szCs w:val="24"/>
        </w:rPr>
        <w:t>且具有极强的随机性。 同时，由气隙响应的非线性，其累计概率分布曲线往往偏</w:t>
      </w:r>
    </w:p>
    <w:p>
      <w:pPr>
        <w:spacing w:line="440" w:lineRule="exact"/>
        <w:ind w:firstLine="480" w:firstLineChars="200"/>
        <w:rPr>
          <w:rFonts w:asciiTheme="minorHAnsi" w:hAnsiTheme="minorHAnsi" w:eastAsiaTheme="minorEastAsia" w:cstheme="minorBidi"/>
          <w:sz w:val="24"/>
          <w:szCs w:val="22"/>
        </w:rPr>
      </w:pPr>
      <w:r>
        <w:rPr>
          <w:rFonts w:ascii="宋体" w:hAnsi="宋体"/>
          <w:color w:val="FF0000"/>
          <w:sz w:val="24"/>
          <w:szCs w:val="24"/>
        </w:rPr>
        <w:t>离理论分布</w:t>
      </w:r>
      <w:r>
        <w:rPr>
          <w:rFonts w:ascii="宋体" w:hAnsi="宋体"/>
          <w:color w:val="000000"/>
          <w:sz w:val="24"/>
          <w:szCs w:val="24"/>
        </w:rPr>
        <w:t>。</w:t>
      </w:r>
      <w:r>
        <w:rPr>
          <w:rFonts w:hint="eastAsia" w:ascii="宋体" w:hAnsi="宋体"/>
          <w:color w:val="000000"/>
          <w:sz w:val="24"/>
          <w:szCs w:val="24"/>
        </w:rPr>
        <w:t>针对</w:t>
      </w:r>
      <w:r>
        <w:rPr>
          <w:rFonts w:hint="eastAsia" w:asciiTheme="minorHAnsi" w:hAnsiTheme="minorHAnsi" w:eastAsiaTheme="minorEastAsia" w:cstheme="minorBidi"/>
          <w:sz w:val="24"/>
          <w:szCs w:val="22"/>
        </w:rPr>
        <w:t>随机波浪作用下半潜平台的气隙响应极值随机性较强，且常规极值预报方法在预报随机极端气隙响应中稳定性不足的问题，创新提出非高斯过程气隙非线性响应的极值预报方法，在预报结果数量有限且不损失稳定性的情况下对气隙响应的极值进行准确预报。</w:t>
      </w:r>
    </w:p>
    <w:p>
      <w:pPr>
        <w:rPr>
          <w:rFonts w:asciiTheme="minorHAnsi" w:hAnsiTheme="minorHAnsi" w:eastAsiaTheme="minorEastAsia" w:cstheme="minorBidi"/>
          <w:sz w:val="24"/>
          <w:szCs w:val="22"/>
        </w:rPr>
      </w:pPr>
      <w:r>
        <w:drawing>
          <wp:inline distT="0" distB="0" distL="0" distR="0">
            <wp:extent cx="5400040" cy="3200400"/>
            <wp:effectExtent l="0" t="0" r="0" b="0"/>
            <wp:docPr id="865309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09682" name="图片 1"/>
                    <pic:cNvPicPr>
                      <a:picLocks noChangeAspect="1"/>
                    </pic:cNvPicPr>
                  </pic:nvPicPr>
                  <pic:blipFill>
                    <a:blip r:embed="rId24"/>
                    <a:stretch>
                      <a:fillRect/>
                    </a:stretch>
                  </pic:blipFill>
                  <pic:spPr>
                    <a:xfrm>
                      <a:off x="0" y="0"/>
                      <a:ext cx="5400040" cy="3200400"/>
                    </a:xfrm>
                    <a:prstGeom prst="rect">
                      <a:avLst/>
                    </a:prstGeom>
                  </pic:spPr>
                </pic:pic>
              </a:graphicData>
            </a:graphic>
          </wp:inline>
        </w:drawing>
      </w:r>
    </w:p>
    <w:p>
      <w:pPr>
        <w:jc w:val="center"/>
        <w:rPr>
          <w:rFonts w:asciiTheme="minorHAnsi" w:hAnsiTheme="minorHAnsi" w:eastAsiaTheme="minorEastAsia" w:cstheme="minorBidi"/>
          <w:sz w:val="24"/>
          <w:szCs w:val="22"/>
        </w:rPr>
      </w:pPr>
      <w:r>
        <w:rPr>
          <w:rFonts w:asciiTheme="minorHAnsi" w:hAnsiTheme="minorHAnsi" w:eastAsiaTheme="minorEastAsia" w:cstheme="minorBidi"/>
          <w:color w:val="FF0000"/>
          <w:sz w:val="24"/>
          <w:szCs w:val="22"/>
        </w:rPr>
        <w:t xml:space="preserve">图  </w:t>
      </w:r>
      <w:r>
        <w:rPr>
          <w:rFonts w:hint="eastAsia" w:asciiTheme="minorHAnsi" w:hAnsiTheme="minorHAnsi" w:eastAsiaTheme="minorEastAsia" w:cstheme="minorBidi"/>
          <w:color w:val="FF0000"/>
          <w:sz w:val="24"/>
          <w:szCs w:val="22"/>
        </w:rPr>
        <w:t>入射波、和气隙响应的波峰、波谷的超越概率分布</w:t>
      </w:r>
    </w:p>
    <w:p>
      <w:pPr>
        <w:numPr>
          <w:ilvl w:val="0"/>
          <w:numId w:val="2"/>
        </w:numPr>
        <w:spacing w:line="440" w:lineRule="exact"/>
        <w:outlineLvl w:val="2"/>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研发了适用于超深水半潜式生产储卸油平台的3</w:t>
      </w:r>
      <w:r>
        <w:rPr>
          <w:rFonts w:asciiTheme="minorHAnsi" w:hAnsiTheme="minorHAnsi" w:eastAsiaTheme="minorEastAsia" w:cstheme="minorBidi"/>
          <w:sz w:val="24"/>
          <w:szCs w:val="22"/>
        </w:rPr>
        <w:t>0</w:t>
      </w:r>
      <w:r>
        <w:rPr>
          <w:rFonts w:hint="eastAsia" w:asciiTheme="minorHAnsi" w:hAnsiTheme="minorHAnsi" w:eastAsiaTheme="minorEastAsia" w:cstheme="minorBidi"/>
          <w:sz w:val="24"/>
          <w:szCs w:val="22"/>
        </w:rPr>
        <w:t>年不坞修设计技术</w:t>
      </w:r>
    </w:p>
    <w:p>
      <w:pPr>
        <w:spacing w:line="440" w:lineRule="exact"/>
        <w:ind w:firstLine="480"/>
        <w:rPr>
          <w:rFonts w:asciiTheme="minorHAnsi" w:hAnsiTheme="minorHAnsi" w:eastAsiaTheme="minorEastAsia" w:cstheme="minorBidi"/>
          <w:sz w:val="24"/>
        </w:rPr>
      </w:pPr>
      <w:r>
        <w:rPr>
          <w:rFonts w:hint="eastAsia" w:asciiTheme="minorHAnsi" w:hAnsiTheme="minorHAnsi" w:eastAsiaTheme="minorEastAsia" w:cstheme="minorBidi"/>
          <w:sz w:val="24"/>
          <w:szCs w:val="22"/>
        </w:rPr>
        <w:t>（</w:t>
      </w:r>
      <w:r>
        <w:rPr>
          <w:rFonts w:hint="eastAsia" w:asciiTheme="minorHAnsi" w:hAnsiTheme="minorHAnsi" w:eastAsiaTheme="minorEastAsia" w:cstheme="minorBidi"/>
          <w:sz w:val="24"/>
        </w:rPr>
        <w:t>1）研发了全寿命周期不坞修的结构设计技术</w:t>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针对负载超过4万吨的半潜平台，在兼顾设备布置与结构匹配、主梁次梁布置匀称后，创新性提出“六横四纵”的结构设计框架，同时在“田”字形结构外扎起一道“泥巴墙”，内外壳体互为面板支撑，与中间的水平桁共同形成一副“护体铠甲”，立柱内部形成</w:t>
      </w:r>
      <w:r>
        <w:rPr>
          <w:rFonts w:asciiTheme="minorHAnsi" w:hAnsiTheme="minorHAnsi" w:eastAsiaTheme="minorEastAsia" w:cstheme="minorBidi"/>
          <w:sz w:val="24"/>
          <w:szCs w:val="22"/>
        </w:rPr>
        <w:t xml:space="preserve"> </w:t>
      </w:r>
      <w:r>
        <w:rPr>
          <w:rFonts w:hint="eastAsia" w:asciiTheme="minorHAnsi" w:hAnsiTheme="minorHAnsi" w:eastAsiaTheme="minorEastAsia" w:cstheme="minorBidi"/>
          <w:sz w:val="24"/>
          <w:szCs w:val="22"/>
        </w:rPr>
        <w:t>“十”字形舱壁，使半潜平台立柱在全寿命周期内具备抵御百年一遇波浪载荷的能力，将结构设计寿命提升到3</w:t>
      </w:r>
      <w:r>
        <w:rPr>
          <w:rFonts w:asciiTheme="minorHAnsi" w:hAnsiTheme="minorHAnsi" w:eastAsiaTheme="minorEastAsia" w:cstheme="minorBidi"/>
          <w:sz w:val="24"/>
          <w:szCs w:val="22"/>
        </w:rPr>
        <w:t>0</w:t>
      </w:r>
      <w:r>
        <w:rPr>
          <w:rFonts w:hint="eastAsia" w:asciiTheme="minorHAnsi" w:hAnsiTheme="minorHAnsi" w:eastAsiaTheme="minorEastAsia" w:cstheme="minorBidi"/>
          <w:sz w:val="24"/>
          <w:szCs w:val="22"/>
        </w:rPr>
        <w:t>年。</w:t>
      </w:r>
    </w:p>
    <w:p>
      <w:pPr>
        <w:ind w:firstLine="480"/>
      </w:pPr>
      <w:r>
        <w:drawing>
          <wp:inline distT="0" distB="0" distL="0" distR="0">
            <wp:extent cx="2719705" cy="1637030"/>
            <wp:effectExtent l="0" t="0" r="4445" b="1270"/>
            <wp:docPr id="553329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29762"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70738" cy="1667468"/>
                    </a:xfrm>
                    <a:prstGeom prst="rect">
                      <a:avLst/>
                    </a:prstGeom>
                    <a:noFill/>
                    <a:ln>
                      <a:noFill/>
                    </a:ln>
                  </pic:spPr>
                </pic:pic>
              </a:graphicData>
            </a:graphic>
          </wp:inline>
        </w:drawing>
      </w:r>
      <w:r>
        <w:rPr>
          <w:rFonts w:hint="eastAsia"/>
        </w:rPr>
        <w:t xml:space="preserve"> </w:t>
      </w:r>
      <w:r>
        <w:t xml:space="preserve">     </w:t>
      </w:r>
      <w:r>
        <w:rPr>
          <w:rFonts w:ascii="仿宋" w:hAnsi="仿宋" w:eastAsia="仿宋"/>
          <w:sz w:val="28"/>
        </w:rPr>
        <w:drawing>
          <wp:inline distT="0" distB="0" distL="0" distR="0">
            <wp:extent cx="1811020" cy="1776730"/>
            <wp:effectExtent l="0" t="0" r="0" b="0"/>
            <wp:docPr id="1652519294" name="图片 2" descr="形状, 正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19294" name="图片 2" descr="形状, 正方形&#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17290" cy="1782939"/>
                    </a:xfrm>
                    <a:prstGeom prst="rect">
                      <a:avLst/>
                    </a:prstGeom>
                    <a:noFill/>
                    <a:ln>
                      <a:noFill/>
                    </a:ln>
                  </pic:spPr>
                </pic:pic>
              </a:graphicData>
            </a:graphic>
          </wp:inline>
        </w:drawing>
      </w:r>
    </w:p>
    <w:p>
      <w:pPr>
        <w:ind w:firstLine="1890" w:firstLineChars="900"/>
      </w:pPr>
      <w:r>
        <w:rPr>
          <w:rFonts w:hint="eastAsia" w:ascii="宋体" w:hAnsi="宋体"/>
          <w:szCs w:val="21"/>
        </w:rPr>
        <w:t xml:space="preserve">结构设计框架 </w:t>
      </w:r>
      <w:r>
        <w:rPr>
          <w:rFonts w:ascii="宋体" w:hAnsi="宋体"/>
          <w:szCs w:val="21"/>
        </w:rPr>
        <w:t xml:space="preserve">                          </w:t>
      </w:r>
      <w:r>
        <w:rPr>
          <w:rFonts w:hint="eastAsia" w:ascii="宋体" w:hAnsi="宋体"/>
          <w:szCs w:val="21"/>
        </w:rPr>
        <w:t>“田”字形结构</w:t>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2）研发了全寿命周期不坞修的船体疲劳设计技术。</w:t>
      </w:r>
    </w:p>
    <w:p>
      <w:pPr>
        <w:spacing w:line="440" w:lineRule="exact"/>
        <w:ind w:firstLine="480" w:firstLineChars="200"/>
        <w:rPr>
          <w:rFonts w:ascii="宋体" w:hAnsi="宋体"/>
          <w:sz w:val="24"/>
        </w:rPr>
      </w:pPr>
      <w:r>
        <w:rPr>
          <w:rFonts w:hint="eastAsia" w:asciiTheme="minorHAnsi" w:hAnsiTheme="minorHAnsi" w:eastAsiaTheme="minorEastAsia" w:cstheme="minorBidi"/>
          <w:sz w:val="24"/>
          <w:szCs w:val="22"/>
        </w:rPr>
        <w:t>基于全概率波浪谱分析方法进行结构疲劳分析，按照非关键、关键区域，不可检修、可检修区域确定不同安全评价准则的设计方法，针对不同相位按照不同的约束条件进行安全余度设计，</w:t>
      </w:r>
      <w:r>
        <w:rPr>
          <w:rFonts w:hint="eastAsia" w:ascii="宋体" w:hAnsi="宋体"/>
          <w:sz w:val="24"/>
        </w:rPr>
        <w:t>研发了</w:t>
      </w:r>
      <w:r>
        <w:rPr>
          <w:rFonts w:hint="eastAsia" w:asciiTheme="minorHAnsi" w:hAnsiTheme="minorHAnsi" w:eastAsiaTheme="minorEastAsia" w:cstheme="minorBidi"/>
          <w:sz w:val="24"/>
          <w:szCs w:val="22"/>
        </w:rPr>
        <w:t>全寿命周期不坞修的船体疲劳设计技术，提出</w:t>
      </w:r>
      <w:r>
        <w:rPr>
          <w:rFonts w:hint="eastAsia" w:ascii="宋体" w:hAnsi="宋体"/>
          <w:sz w:val="24"/>
        </w:rPr>
        <w:t>“大立柱嵌小立柱”的技术，在船体立柱的角点位置嵌入上部组块立柱的支撑柱，在支撑柱的内部设置“十字”交叉强框和水平环梁，使得支撑结构的疲劳寿命提高到150年以上。</w:t>
      </w:r>
    </w:p>
    <w:p>
      <w:pPr>
        <w:ind w:firstLine="560" w:firstLineChars="200"/>
        <w:jc w:val="center"/>
        <w:rPr>
          <w:rFonts w:asciiTheme="minorHAnsi" w:hAnsiTheme="minorHAnsi" w:eastAsiaTheme="minorEastAsia" w:cstheme="minorBidi"/>
          <w:sz w:val="24"/>
          <w:szCs w:val="22"/>
        </w:rPr>
      </w:pPr>
      <w:r>
        <w:rPr>
          <w:rFonts w:ascii="仿宋" w:hAnsi="仿宋" w:eastAsia="仿宋"/>
          <w:sz w:val="28"/>
        </w:rPr>
        <w:drawing>
          <wp:inline distT="0" distB="0" distL="0" distR="0">
            <wp:extent cx="3252470" cy="2442210"/>
            <wp:effectExtent l="0" t="0" r="5080" b="0"/>
            <wp:docPr id="411000627"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00627" name="图片 3" descr="图示&#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253583" cy="2443615"/>
                    </a:xfrm>
                    <a:prstGeom prst="rect">
                      <a:avLst/>
                    </a:prstGeom>
                    <a:noFill/>
                    <a:ln>
                      <a:noFill/>
                    </a:ln>
                  </pic:spPr>
                </pic:pic>
              </a:graphicData>
            </a:graphic>
          </wp:inline>
        </w:drawing>
      </w:r>
    </w:p>
    <w:p>
      <w:pPr>
        <w:jc w:val="center"/>
        <w:rPr>
          <w:rFonts w:ascii="仿宋" w:hAnsi="仿宋" w:eastAsia="仿宋"/>
          <w:szCs w:val="21"/>
        </w:rPr>
      </w:pPr>
      <w:r>
        <w:rPr>
          <w:rFonts w:hint="eastAsia" w:ascii="仿宋" w:hAnsi="仿宋" w:eastAsia="仿宋"/>
          <w:szCs w:val="21"/>
        </w:rPr>
        <w:t>组块与船体连接形式</w:t>
      </w:r>
    </w:p>
    <w:p>
      <w:pPr>
        <w:ind w:firstLine="480" w:firstLineChars="200"/>
        <w:jc w:val="center"/>
        <w:rPr>
          <w:rFonts w:asciiTheme="minorHAnsi" w:hAnsiTheme="minorHAnsi" w:eastAsiaTheme="minorEastAsia" w:cstheme="minorBidi"/>
          <w:sz w:val="24"/>
          <w:szCs w:val="22"/>
        </w:rPr>
      </w:pP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浮箱上悬挂的立管在整个生命周期内会产生上亿次的循环荷载，16根系泊缆将产生高达3</w:t>
      </w:r>
      <w:r>
        <w:rPr>
          <w:rFonts w:asciiTheme="minorHAnsi" w:hAnsiTheme="minorHAnsi" w:eastAsiaTheme="minorEastAsia" w:cstheme="minorBidi"/>
          <w:sz w:val="24"/>
          <w:szCs w:val="22"/>
        </w:rPr>
        <w:t>00</w:t>
      </w:r>
      <w:r>
        <w:rPr>
          <w:rFonts w:hint="eastAsia" w:asciiTheme="minorHAnsi" w:hAnsiTheme="minorHAnsi" w:eastAsiaTheme="minorEastAsia" w:cstheme="minorBidi"/>
          <w:sz w:val="24"/>
          <w:szCs w:val="22"/>
        </w:rPr>
        <w:t>吨的张紧力。首次提出了双环形连接方案，将两个浮箱通过 “十指紧扣”方式交叉锁在一起，同时在立管和系泊缆的支撑结构处增加强框架，消除“点”荷载，有效的提高结构疲劳储备，将立柱与扁平浮箱的连接节点疲劳寿命提高到300年。</w:t>
      </w:r>
    </w:p>
    <w:p>
      <w:pPr>
        <w:jc w:val="center"/>
        <w:rPr>
          <w:rFonts w:ascii="仿宋" w:hAnsi="仿宋" w:eastAsia="仿宋"/>
          <w:sz w:val="28"/>
          <w:szCs w:val="22"/>
        </w:rPr>
      </w:pPr>
      <w:r>
        <w:drawing>
          <wp:inline distT="0" distB="0" distL="0" distR="0">
            <wp:extent cx="2146935" cy="1834515"/>
            <wp:effectExtent l="0" t="0" r="5715" b="0"/>
            <wp:docPr id="10649281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28176"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46935" cy="1834515"/>
                    </a:xfrm>
                    <a:prstGeom prst="rect">
                      <a:avLst/>
                    </a:prstGeom>
                    <a:noFill/>
                    <a:ln>
                      <a:noFill/>
                    </a:ln>
                  </pic:spPr>
                </pic:pic>
              </a:graphicData>
            </a:graphic>
          </wp:inline>
        </w:drawing>
      </w:r>
      <w:r>
        <w:rPr>
          <w:rFonts w:ascii="仿宋" w:hAnsi="仿宋" w:eastAsia="仿宋"/>
          <w:sz w:val="28"/>
        </w:rPr>
        <w:drawing>
          <wp:inline distT="0" distB="0" distL="0" distR="0">
            <wp:extent cx="2442210" cy="1834515"/>
            <wp:effectExtent l="0" t="0" r="0" b="0"/>
            <wp:docPr id="10756735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7356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42210" cy="1834515"/>
                    </a:xfrm>
                    <a:prstGeom prst="rect">
                      <a:avLst/>
                    </a:prstGeom>
                    <a:noFill/>
                    <a:ln>
                      <a:noFill/>
                    </a:ln>
                  </pic:spPr>
                </pic:pic>
              </a:graphicData>
            </a:graphic>
          </wp:inline>
        </w:drawing>
      </w:r>
    </w:p>
    <w:p>
      <w:pPr>
        <w:spacing w:line="440" w:lineRule="exact"/>
        <w:ind w:firstLine="480" w:firstLineChars="200"/>
        <w:jc w:val="center"/>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结构框架</w:t>
      </w:r>
    </w:p>
    <w:p>
      <w:pPr>
        <w:spacing w:line="440" w:lineRule="exact"/>
        <w:ind w:firstLine="480" w:firstLineChars="200"/>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w:t>
      </w:r>
      <w:r>
        <w:rPr>
          <w:rFonts w:asciiTheme="minorHAnsi" w:hAnsiTheme="minorHAnsi" w:eastAsiaTheme="minorEastAsia" w:cstheme="minorBidi"/>
          <w:sz w:val="24"/>
          <w:szCs w:val="22"/>
        </w:rPr>
        <w:t>3</w:t>
      </w:r>
      <w:r>
        <w:rPr>
          <w:rFonts w:hint="eastAsia" w:asciiTheme="minorHAnsi" w:hAnsiTheme="minorHAnsi" w:eastAsiaTheme="minorEastAsia" w:cstheme="minorBidi"/>
          <w:sz w:val="24"/>
          <w:szCs w:val="22"/>
        </w:rPr>
        <w:t>）构建了全寿命周期不坞修的在位检修及监测技术</w:t>
      </w:r>
    </w:p>
    <w:p>
      <w:pPr>
        <w:tabs>
          <w:tab w:val="left" w:pos="420"/>
        </w:tabs>
        <w:spacing w:line="440" w:lineRule="exact"/>
        <w:ind w:left="425"/>
        <w:outlineLvl w:val="2"/>
        <w:rPr>
          <w:rFonts w:asciiTheme="minorHAnsi" w:hAnsiTheme="minorHAnsi" w:eastAsiaTheme="minorEastAsia" w:cstheme="minorBidi"/>
          <w:sz w:val="24"/>
          <w:szCs w:val="22"/>
        </w:rPr>
      </w:pPr>
      <w:r>
        <w:rPr>
          <w:rFonts w:hint="eastAsia" w:ascii="宋体" w:hAnsi="宋体" w:cs="宋体"/>
          <w:sz w:val="24"/>
          <w:szCs w:val="24"/>
        </w:rPr>
        <w:t>针对高温、高湿、高盐雾环境，首次构建了全寿命周期不坞修的在位检修及监测技术，形成了自主的材料选择、腐蚀分析、设备总体布置能力、关键设施检验运维能力、全船一体化动动态监测等综合能力，解决了服役期内入坞检验维修代价高昂的难题，实现了全寿命周期内不坞修。</w:t>
      </w:r>
    </w:p>
    <w:p>
      <w:pPr>
        <w:tabs>
          <w:tab w:val="left" w:pos="420"/>
        </w:tabs>
        <w:spacing w:line="440" w:lineRule="exact"/>
        <w:ind w:left="425"/>
        <w:outlineLvl w:val="2"/>
        <w:rPr>
          <w:rFonts w:asciiTheme="minorHAnsi" w:hAnsiTheme="minorHAnsi" w:eastAsiaTheme="minorEastAsia" w:cstheme="minorBidi"/>
          <w:sz w:val="24"/>
          <w:szCs w:val="22"/>
        </w:rPr>
      </w:pPr>
    </w:p>
    <w:p>
      <w:pPr>
        <w:numPr>
          <w:ilvl w:val="0"/>
          <w:numId w:val="1"/>
        </w:numPr>
        <w:spacing w:line="440" w:lineRule="exact"/>
        <w:outlineLvl w:val="2"/>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创立了南海恶劣海况下30年服役期钢悬链立管工程设计技术体系</w:t>
      </w:r>
    </w:p>
    <w:p>
      <w:pPr>
        <w:numPr>
          <w:ilvl w:val="0"/>
          <w:numId w:val="3"/>
        </w:numPr>
        <w:spacing w:line="440" w:lineRule="exact"/>
        <w:outlineLvl w:val="2"/>
        <w:rPr>
          <w:rFonts w:asciiTheme="minorHAnsi" w:hAnsiTheme="minorHAnsi" w:eastAsiaTheme="minorEastAsia" w:cstheme="minorBidi"/>
          <w:sz w:val="24"/>
          <w:szCs w:val="22"/>
        </w:rPr>
      </w:pPr>
      <w:bookmarkStart w:id="3" w:name="_Toc3806"/>
      <w:r>
        <w:rPr>
          <w:rFonts w:hint="eastAsia" w:asciiTheme="minorHAnsi" w:hAnsiTheme="minorHAnsi" w:eastAsiaTheme="minorEastAsia" w:cstheme="minorBidi"/>
          <w:sz w:val="24"/>
          <w:szCs w:val="22"/>
        </w:rPr>
        <w:t>首创了半潜式生产平台内侧反向悬挂钢悬链立管设计技术</w:t>
      </w:r>
      <w:bookmarkEnd w:id="3"/>
    </w:p>
    <w:p>
      <w:pPr>
        <w:spacing w:before="120" w:line="440" w:lineRule="exact"/>
        <w:ind w:firstLine="480" w:firstLineChars="200"/>
        <w:rPr>
          <w:rFonts w:ascii="宋体" w:hAnsi="宋体" w:cs="宋体"/>
          <w:sz w:val="24"/>
          <w:szCs w:val="24"/>
        </w:rPr>
      </w:pPr>
      <w:r>
        <w:rPr>
          <w:rFonts w:hint="eastAsia" w:ascii="宋体" w:hAnsi="宋体" w:cs="宋体"/>
          <w:sz w:val="24"/>
          <w:szCs w:val="24"/>
        </w:rPr>
        <w:t>在国内首次研发了钢悬链立管总体设计技术，形成了自主的钢悬链立管总体布置、悬挂系统选型、壁厚选择、强度分析、干涉分析和触地段管土耦合分析能力，解决了半潜式生产平台钢悬链立管整体布置难题。</w:t>
      </w:r>
    </w:p>
    <w:p>
      <w:pPr>
        <w:spacing w:before="120" w:line="440" w:lineRule="exact"/>
        <w:ind w:firstLine="480" w:firstLineChars="200"/>
        <w:rPr>
          <w:rFonts w:ascii="宋体" w:hAnsi="宋体" w:cs="宋体"/>
          <w:sz w:val="24"/>
          <w:szCs w:val="24"/>
        </w:rPr>
      </w:pPr>
      <w:r>
        <w:rPr>
          <w:rFonts w:hint="eastAsia" w:ascii="宋体" w:hAnsi="宋体" w:cs="宋体"/>
          <w:sz w:val="24"/>
          <w:szCs w:val="24"/>
        </w:rPr>
        <w:t>考虑船体运动性能、油田区域海洋极值方向性、干涉/碰撞以及安装可行性等关键因素，通过分析不同布置位置、不同悬挂角度、不同附件参数以及不同悬挂系统情况下钢悬链线立管强度、疲劳性能，并总结各个参数对</w:t>
      </w:r>
      <w:r>
        <w:rPr>
          <w:rFonts w:hint="eastAsia" w:asciiTheme="minorHAnsi" w:hAnsiTheme="minorHAnsi" w:eastAsiaTheme="minorEastAsia" w:cstheme="minorBidi"/>
          <w:sz w:val="24"/>
          <w:szCs w:val="22"/>
        </w:rPr>
        <w:t>钢悬链立管</w:t>
      </w:r>
      <w:r>
        <w:rPr>
          <w:rFonts w:hint="eastAsia" w:ascii="宋体" w:hAnsi="宋体" w:cs="宋体"/>
          <w:sz w:val="24"/>
          <w:szCs w:val="24"/>
        </w:rPr>
        <w:t>力学性能的相互制约因素，开展波浪、风与海流方向性环境参数研究，建立独立优化设计变量、无量纲和易于控制</w:t>
      </w:r>
      <w:r>
        <w:rPr>
          <w:rFonts w:hint="eastAsia" w:asciiTheme="minorHAnsi" w:hAnsiTheme="minorHAnsi" w:eastAsiaTheme="minorEastAsia" w:cstheme="minorBidi"/>
          <w:sz w:val="24"/>
          <w:szCs w:val="22"/>
        </w:rPr>
        <w:t>钢悬链立管</w:t>
      </w:r>
      <w:r>
        <w:rPr>
          <w:rFonts w:hint="eastAsia" w:ascii="宋体" w:hAnsi="宋体" w:cs="宋体"/>
          <w:sz w:val="24"/>
          <w:szCs w:val="24"/>
        </w:rPr>
        <w:t>线型几何形态的优化数学模型，进行立管构型优化分析，形成了</w:t>
      </w:r>
      <w:r>
        <w:rPr>
          <w:rFonts w:hint="eastAsia"/>
          <w:sz w:val="24"/>
          <w:szCs w:val="24"/>
        </w:rPr>
        <w:t>基于极端环境立管动力响应的构型和布置设计技术</w:t>
      </w:r>
      <w:r>
        <w:rPr>
          <w:rFonts w:hint="eastAsia" w:ascii="宋体" w:hAnsi="宋体" w:cs="宋体"/>
          <w:sz w:val="24"/>
          <w:szCs w:val="24"/>
        </w:rPr>
        <w:t>。</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vAlign w:val="center"/>
          </w:tcPr>
          <w:p>
            <w:pPr>
              <w:pStyle w:val="59"/>
              <w:rPr>
                <w:rFonts w:ascii="宋体" w:hAnsi="宋体" w:cs="宋体"/>
                <w:sz w:val="24"/>
                <w:szCs w:val="24"/>
              </w:rPr>
            </w:pPr>
            <w:r>
              <w:rPr>
                <w:rFonts w:hint="eastAsia" w:ascii="宋体" w:hAnsi="宋体" w:cs="宋体"/>
                <w:sz w:val="24"/>
                <w:szCs w:val="24"/>
              </w:rPr>
              <w:drawing>
                <wp:inline distT="0" distB="0" distL="114300" distR="114300">
                  <wp:extent cx="2726055" cy="2056130"/>
                  <wp:effectExtent l="0" t="0" r="17145" b="12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0"/>
                          <a:stretch>
                            <a:fillRect/>
                          </a:stretch>
                        </pic:blipFill>
                        <pic:spPr>
                          <a:xfrm>
                            <a:off x="0" y="0"/>
                            <a:ext cx="2726055" cy="2056130"/>
                          </a:xfrm>
                          <a:prstGeom prst="rect">
                            <a:avLst/>
                          </a:prstGeom>
                          <a:noFill/>
                          <a:ln>
                            <a:noFill/>
                          </a:ln>
                        </pic:spPr>
                      </pic:pic>
                    </a:graphicData>
                  </a:graphic>
                </wp:inline>
              </w:drawing>
            </w:r>
          </w:p>
        </w:tc>
        <w:tc>
          <w:tcPr>
            <w:tcW w:w="4360" w:type="dxa"/>
            <w:vAlign w:val="center"/>
          </w:tcPr>
          <w:p>
            <w:pPr>
              <w:pStyle w:val="59"/>
              <w:rPr>
                <w:rFonts w:ascii="宋体" w:hAnsi="宋体" w:cs="宋体"/>
                <w:sz w:val="24"/>
                <w:szCs w:val="24"/>
              </w:rPr>
            </w:pPr>
            <w:r>
              <w:rPr>
                <w:rFonts w:hint="eastAsia" w:ascii="宋体" w:hAnsi="宋体" w:cs="宋体"/>
                <w:sz w:val="24"/>
                <w:szCs w:val="24"/>
              </w:rPr>
              <w:drawing>
                <wp:inline distT="0" distB="0" distL="114300" distR="114300">
                  <wp:extent cx="2735580" cy="2062480"/>
                  <wp:effectExtent l="0" t="0" r="7620"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2735580" cy="2062480"/>
                          </a:xfrm>
                          <a:prstGeom prst="rect">
                            <a:avLst/>
                          </a:prstGeom>
                          <a:noFill/>
                          <a:ln>
                            <a:noFill/>
                          </a:ln>
                        </pic:spPr>
                      </pic:pic>
                    </a:graphicData>
                  </a:graphic>
                </wp:inline>
              </w:drawing>
            </w:r>
          </w:p>
        </w:tc>
      </w:tr>
    </w:tbl>
    <w:p>
      <w:pPr>
        <w:spacing w:before="120" w:line="440" w:lineRule="exact"/>
        <w:ind w:firstLine="480" w:firstLineChars="200"/>
        <w:rPr>
          <w:rFonts w:ascii="宋体" w:hAnsi="宋体" w:cs="宋体"/>
          <w:sz w:val="24"/>
          <w:szCs w:val="24"/>
        </w:rPr>
      </w:pPr>
      <w:r>
        <w:rPr>
          <w:rFonts w:hint="eastAsia" w:ascii="宋体" w:hAnsi="宋体" w:cs="宋体"/>
          <w:sz w:val="24"/>
          <w:szCs w:val="24"/>
        </w:rPr>
        <w:t>通过应用基于极端环境立管动力响应的构型和布置设计技术，最终获得适用于南海环境及1500米水深下立管的最佳</w:t>
      </w:r>
      <w:r>
        <w:rPr>
          <w:rFonts w:hint="eastAsia" w:asciiTheme="minorHAnsi" w:hAnsiTheme="minorHAnsi" w:eastAsiaTheme="minorEastAsia" w:cstheme="minorBidi"/>
          <w:sz w:val="24"/>
          <w:szCs w:val="22"/>
        </w:rPr>
        <w:t>钢悬链立管</w:t>
      </w:r>
      <w:r>
        <w:rPr>
          <w:rFonts w:hint="eastAsia" w:ascii="宋体" w:hAnsi="宋体" w:cs="宋体"/>
          <w:sz w:val="24"/>
          <w:szCs w:val="24"/>
        </w:rPr>
        <w:t>构型，创造了同等水深半潜平台</w:t>
      </w:r>
      <w:r>
        <w:rPr>
          <w:rFonts w:hint="eastAsia" w:asciiTheme="minorHAnsi" w:hAnsiTheme="minorHAnsi" w:eastAsiaTheme="minorEastAsia" w:cstheme="minorBidi"/>
          <w:sz w:val="24"/>
          <w:szCs w:val="22"/>
        </w:rPr>
        <w:t>钢悬链立管</w:t>
      </w:r>
      <w:r>
        <w:rPr>
          <w:rFonts w:hint="eastAsia" w:ascii="宋体" w:hAnsi="宋体" w:cs="宋体"/>
          <w:sz w:val="24"/>
          <w:szCs w:val="24"/>
        </w:rPr>
        <w:t>最大管径的应用记录，在国际上实施了适用于半潜式生产平台内侧反向悬挂的钢悬链立管系统，并成功解决了</w:t>
      </w:r>
      <w:r>
        <w:rPr>
          <w:rFonts w:hint="eastAsia" w:asciiTheme="minorHAnsi" w:hAnsiTheme="minorHAnsi" w:eastAsiaTheme="minorEastAsia" w:cstheme="minorBidi"/>
          <w:sz w:val="24"/>
          <w:szCs w:val="22"/>
        </w:rPr>
        <w:t>钢悬链立管</w:t>
      </w:r>
      <w:r>
        <w:rPr>
          <w:rFonts w:hint="eastAsia" w:ascii="宋体" w:hAnsi="宋体" w:cs="宋体"/>
          <w:sz w:val="24"/>
          <w:szCs w:val="24"/>
        </w:rPr>
        <w:t>触地段在极端海况下出现压缩的问题。</w:t>
      </w:r>
    </w:p>
    <w:p>
      <w:pPr>
        <w:spacing w:before="120" w:line="440" w:lineRule="exact"/>
        <w:ind w:firstLine="480" w:firstLineChars="200"/>
        <w:rPr>
          <w:rFonts w:ascii="宋体" w:hAnsi="宋体" w:cs="宋体"/>
          <w:sz w:val="24"/>
          <w:szCs w:val="24"/>
        </w:rPr>
      </w:pPr>
      <w:r>
        <w:rPr>
          <w:rFonts w:hint="eastAsia" w:ascii="宋体" w:hAnsi="宋体" w:cs="宋体"/>
          <w:sz w:val="24"/>
          <w:szCs w:val="24"/>
        </w:rPr>
        <w:t>针对</w:t>
      </w:r>
      <w:r>
        <w:rPr>
          <w:rFonts w:hint="eastAsia" w:asciiTheme="minorHAnsi" w:hAnsiTheme="minorHAnsi" w:eastAsiaTheme="minorEastAsia" w:cstheme="minorBidi"/>
          <w:sz w:val="24"/>
          <w:szCs w:val="22"/>
        </w:rPr>
        <w:t>钢悬链立管</w:t>
      </w:r>
      <w:r>
        <w:rPr>
          <w:rFonts w:hint="eastAsia" w:ascii="宋体" w:hAnsi="宋体" w:cs="宋体"/>
          <w:sz w:val="24"/>
          <w:szCs w:val="24"/>
        </w:rPr>
        <w:t>动态应力造成立管疲劳损伤，严重影响立管设计寿命的问题。首次提出</w:t>
      </w:r>
      <w:r>
        <w:rPr>
          <w:rFonts w:hint="eastAsia" w:asciiTheme="minorHAnsi" w:hAnsiTheme="minorHAnsi" w:eastAsiaTheme="minorEastAsia" w:cstheme="minorBidi"/>
          <w:sz w:val="24"/>
          <w:szCs w:val="22"/>
        </w:rPr>
        <w:t>钢悬链立管</w:t>
      </w:r>
      <w:r>
        <w:rPr>
          <w:rFonts w:hint="eastAsia" w:ascii="宋体" w:hAnsi="宋体" w:cs="宋体"/>
          <w:sz w:val="24"/>
          <w:szCs w:val="24"/>
        </w:rPr>
        <w:t>疲劳损伤缓解技术，给出了一套缓解疲劳损伤的工程措施，实现了生产</w:t>
      </w:r>
      <w:r>
        <w:rPr>
          <w:rFonts w:hint="eastAsia" w:asciiTheme="minorHAnsi" w:hAnsiTheme="minorHAnsi" w:eastAsiaTheme="minorEastAsia" w:cstheme="minorBidi"/>
          <w:sz w:val="24"/>
          <w:szCs w:val="22"/>
        </w:rPr>
        <w:t>钢悬链立管</w:t>
      </w:r>
      <w:r>
        <w:rPr>
          <w:rFonts w:hint="eastAsia" w:ascii="宋体" w:hAnsi="宋体" w:cs="宋体"/>
          <w:sz w:val="24"/>
          <w:szCs w:val="24"/>
        </w:rPr>
        <w:t>底部区域疲劳性能提升45%。</w:t>
      </w:r>
    </w:p>
    <w:p>
      <w:pPr>
        <w:spacing w:before="120"/>
        <w:ind w:firstLine="420" w:firstLineChars="200"/>
        <w:rPr>
          <w:rFonts w:ascii="宋体" w:hAnsi="宋体" w:cs="宋体"/>
          <w:sz w:val="24"/>
          <w:szCs w:val="24"/>
        </w:rPr>
      </w:pPr>
      <w:r>
        <mc:AlternateContent>
          <mc:Choice Requires="wps">
            <w:drawing>
              <wp:anchor distT="0" distB="0" distL="114300" distR="114300" simplePos="0" relativeHeight="251660288" behindDoc="0" locked="0" layoutInCell="1" allowOverlap="1">
                <wp:simplePos x="0" y="0"/>
                <wp:positionH relativeFrom="column">
                  <wp:posOffset>909955</wp:posOffset>
                </wp:positionH>
                <wp:positionV relativeFrom="paragraph">
                  <wp:posOffset>1085850</wp:posOffset>
                </wp:positionV>
                <wp:extent cx="1062355" cy="317500"/>
                <wp:effectExtent l="0" t="107950" r="0" b="107950"/>
                <wp:wrapNone/>
                <wp:docPr id="18" name="椭圆 18"/>
                <wp:cNvGraphicFramePr/>
                <a:graphic xmlns:a="http://schemas.openxmlformats.org/drawingml/2006/main">
                  <a:graphicData uri="http://schemas.microsoft.com/office/word/2010/wordprocessingShape">
                    <wps:wsp>
                      <wps:cNvSpPr/>
                      <wps:spPr>
                        <a:xfrm rot="1440000">
                          <a:off x="2126615" y="5224780"/>
                          <a:ext cx="1062355" cy="317500"/>
                        </a:xfrm>
                        <a:prstGeom prst="ellipse">
                          <a:avLst/>
                        </a:pr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1.65pt;margin-top:85.5pt;height:25pt;width:83.65pt;rotation:1572864f;z-index:251660288;v-text-anchor:middle;mso-width-relative:page;mso-height-relative:page;" filled="f" stroked="t" coordsize="21600,21600" o:gfxdata="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qr1Hw2wAAAAsBAAAPAAAA&#10;AAAAAAEAIAAAACIAAABkcnMvZG93bnJldi54bWxQSwECFAAUAAAACACHTuJAQYGJpoQCAADuBAAA&#10;DgAAAAAAAAABACAAAAAqAQAAZHJzL2Uyb0RvYy54bWxQSwUGAAAAAAYABgBZAQAAIAYAAAAA&#10;">
                <v:fill on="f" focussize="0,0"/>
                <v:stroke weight="1pt" color="#FF0000 [3204]" miterlimit="8" joinstyle="miter" dashstyle="longDashDot"/>
                <v:imagedata o:title=""/>
                <o:lock v:ext="edit" aspectratio="f"/>
              </v:shape>
            </w:pict>
          </mc:Fallback>
        </mc:AlternateContent>
      </w:r>
      <w:r>
        <w:drawing>
          <wp:inline distT="0" distB="0" distL="114300" distR="114300">
            <wp:extent cx="1785620" cy="1920240"/>
            <wp:effectExtent l="0" t="0" r="5080" b="381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2"/>
                    <a:stretch>
                      <a:fillRect/>
                    </a:stretch>
                  </pic:blipFill>
                  <pic:spPr>
                    <a:xfrm>
                      <a:off x="0" y="0"/>
                      <a:ext cx="1785620" cy="1920240"/>
                    </a:xfrm>
                    <a:prstGeom prst="rect">
                      <a:avLst/>
                    </a:prstGeom>
                    <a:noFill/>
                    <a:ln>
                      <a:noFill/>
                    </a:ln>
                  </pic:spPr>
                </pic:pic>
              </a:graphicData>
            </a:graphic>
          </wp:inline>
        </w:drawing>
      </w:r>
      <w:r>
        <w:rPr>
          <w:rFonts w:hint="eastAsia"/>
        </w:rPr>
        <w:t xml:space="preserve"> </w:t>
      </w:r>
      <w:r>
        <w:rPr>
          <w:rFonts w:hint="eastAsia" w:ascii="宋体" w:hAnsi="宋体" w:cs="宋体"/>
          <w:sz w:val="24"/>
          <w:szCs w:val="24"/>
        </w:rPr>
        <w:drawing>
          <wp:inline distT="0" distB="0" distL="114300" distR="114300">
            <wp:extent cx="3097530" cy="1592580"/>
            <wp:effectExtent l="0" t="0" r="7620" b="762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3"/>
                    <a:stretch>
                      <a:fillRect/>
                    </a:stretch>
                  </pic:blipFill>
                  <pic:spPr>
                    <a:xfrm>
                      <a:off x="0" y="0"/>
                      <a:ext cx="3097530" cy="1592580"/>
                    </a:xfrm>
                    <a:prstGeom prst="rect">
                      <a:avLst/>
                    </a:prstGeom>
                    <a:noFill/>
                    <a:ln>
                      <a:noFill/>
                    </a:ln>
                  </pic:spPr>
                </pic:pic>
              </a:graphicData>
            </a:graphic>
          </wp:inline>
        </w:drawing>
      </w:r>
    </w:p>
    <w:p>
      <w:pPr>
        <w:numPr>
          <w:ilvl w:val="0"/>
          <w:numId w:val="3"/>
        </w:numPr>
        <w:spacing w:line="440" w:lineRule="exact"/>
        <w:outlineLvl w:val="2"/>
        <w:rPr>
          <w:rFonts w:asciiTheme="minorHAnsi" w:hAnsiTheme="minorHAnsi" w:eastAsiaTheme="minorEastAsia" w:cstheme="minorBidi"/>
          <w:sz w:val="24"/>
          <w:szCs w:val="22"/>
        </w:rPr>
      </w:pPr>
      <w:bookmarkStart w:id="4" w:name="_Toc17438"/>
      <w:r>
        <w:rPr>
          <w:rFonts w:hint="eastAsia" w:asciiTheme="minorHAnsi" w:hAnsiTheme="minorHAnsi" w:eastAsiaTheme="minorEastAsia" w:cstheme="minorBidi"/>
          <w:sz w:val="24"/>
          <w:szCs w:val="22"/>
        </w:rPr>
        <w:t>发明了适用于多向多根钢悬链立管的提升回接</w:t>
      </w:r>
      <w:bookmarkEnd w:id="4"/>
      <w:r>
        <w:rPr>
          <w:rFonts w:hint="eastAsia" w:asciiTheme="minorHAnsi" w:hAnsiTheme="minorHAnsi" w:eastAsiaTheme="minorEastAsia" w:cstheme="minorBidi"/>
          <w:sz w:val="24"/>
          <w:szCs w:val="22"/>
        </w:rPr>
        <w:t>系统</w:t>
      </w:r>
    </w:p>
    <w:p>
      <w:pPr>
        <w:spacing w:before="120" w:line="440" w:lineRule="exact"/>
        <w:ind w:firstLine="480" w:firstLineChars="200"/>
        <w:rPr>
          <w:rFonts w:ascii="宋体" w:hAnsi="宋体" w:cs="宋体"/>
          <w:sz w:val="24"/>
          <w:szCs w:val="24"/>
        </w:rPr>
      </w:pPr>
      <w:r>
        <w:rPr>
          <w:rFonts w:hint="eastAsia" w:ascii="宋体" w:hAnsi="宋体" w:cs="宋体"/>
          <w:sz w:val="24"/>
          <w:szCs w:val="24"/>
        </w:rPr>
        <w:t>国内首次研发了一套适用于半潜式生产平台的多向立管布置的</w:t>
      </w:r>
      <w:r>
        <w:rPr>
          <w:rFonts w:hint="eastAsia" w:asciiTheme="minorHAnsi" w:hAnsiTheme="minorHAnsi" w:eastAsiaTheme="minorEastAsia" w:cstheme="minorBidi"/>
          <w:sz w:val="24"/>
          <w:szCs w:val="22"/>
        </w:rPr>
        <w:t>钢悬链立管</w:t>
      </w:r>
      <w:r>
        <w:rPr>
          <w:rFonts w:hint="eastAsia" w:ascii="宋体" w:hAnsi="宋体" w:cs="宋体"/>
          <w:sz w:val="24"/>
          <w:szCs w:val="24"/>
        </w:rPr>
        <w:t>专用提升系统，具备最大800t的提升能力、最快1m/min的提升速度。可以实现平台北侧、南侧和西侧三个不同方向的立管提升就位，解决了半潜式平台立管位置分散、跨巨大、方向各异以及提升系统大跨距、摇晃、干涉等难题和提升系统载荷测试难题。</w:t>
      </w:r>
    </w:p>
    <w:p>
      <w:pPr>
        <w:spacing w:before="120" w:line="440" w:lineRule="exact"/>
        <w:ind w:firstLine="480" w:firstLineChars="200"/>
        <w:rPr>
          <w:rFonts w:ascii="宋体" w:hAnsi="宋体" w:cs="宋体"/>
          <w:sz w:val="24"/>
          <w:szCs w:val="24"/>
        </w:rPr>
      </w:pPr>
      <w:r>
        <w:rPr>
          <w:rFonts w:hint="eastAsia" w:ascii="宋体" w:hAnsi="宋体" w:cs="宋体"/>
          <w:sz w:val="24"/>
          <w:szCs w:val="24"/>
        </w:rPr>
        <w:t>提升回接系统主要由南侧提升模块、北侧提升模块以及平台和船体导向装置构成。</w:t>
      </w:r>
    </w:p>
    <w:p>
      <w:pPr>
        <w:spacing w:before="120" w:line="440" w:lineRule="exact"/>
        <w:ind w:firstLine="480" w:firstLineChars="200"/>
        <w:rPr>
          <w:rFonts w:ascii="宋体" w:hAnsi="宋体" w:cs="宋体"/>
          <w:sz w:val="24"/>
          <w:szCs w:val="24"/>
        </w:rPr>
      </w:pPr>
      <w:r>
        <w:rPr>
          <w:rFonts w:hint="eastAsia" w:ascii="宋体" w:hAnsi="宋体" w:cs="宋体"/>
          <w:sz w:val="24"/>
          <w:szCs w:val="24"/>
        </w:rPr>
        <w:t>国际上首次研究提出基于船体现有结构设施开展提升回接装置大张力载荷测试技术。在满足施工需求的同时，极大简化了载荷测试过程，节省了现场作业时间和成本。</w:t>
      </w:r>
    </w:p>
    <w:p>
      <w:pPr>
        <w:spacing w:before="120"/>
        <w:ind w:firstLine="480" w:firstLineChars="200"/>
        <w:rPr>
          <w:rFonts w:ascii="宋体" w:hAnsi="宋体" w:cs="宋体"/>
          <w:sz w:val="24"/>
          <w:szCs w:val="24"/>
        </w:rPr>
      </w:pPr>
      <w:r>
        <w:rPr>
          <w:rFonts w:hint="eastAsia" w:ascii="宋体" w:hAnsi="宋体" w:cs="宋体"/>
          <w:sz w:val="24"/>
          <w:szCs w:val="24"/>
        </w:rPr>
        <w:drawing>
          <wp:inline distT="0" distB="0" distL="114300" distR="114300">
            <wp:extent cx="1936115" cy="1824355"/>
            <wp:effectExtent l="0" t="0" r="698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4"/>
                    <a:stretch>
                      <a:fillRect/>
                    </a:stretch>
                  </pic:blipFill>
                  <pic:spPr>
                    <a:xfrm>
                      <a:off x="0" y="0"/>
                      <a:ext cx="1936115" cy="1824355"/>
                    </a:xfrm>
                    <a:prstGeom prst="rect">
                      <a:avLst/>
                    </a:prstGeom>
                    <a:noFill/>
                    <a:ln>
                      <a:noFill/>
                    </a:ln>
                  </pic:spPr>
                </pic:pic>
              </a:graphicData>
            </a:graphic>
          </wp:inline>
        </w:drawing>
      </w:r>
      <w:r>
        <w:rPr>
          <w:rFonts w:hint="eastAsia" w:ascii="宋体" w:hAnsi="宋体" w:cs="宋体"/>
          <w:sz w:val="24"/>
          <w:szCs w:val="24"/>
        </w:rPr>
        <w:t xml:space="preserve"> </w:t>
      </w:r>
      <w:r>
        <w:rPr>
          <w:rFonts w:hint="eastAsia" w:ascii="宋体" w:hAnsi="宋体" w:cs="宋体"/>
          <w:sz w:val="24"/>
          <w:szCs w:val="24"/>
        </w:rPr>
        <w:drawing>
          <wp:inline distT="0" distB="0" distL="114300" distR="114300">
            <wp:extent cx="2444750" cy="1865630"/>
            <wp:effectExtent l="0" t="0" r="12700" b="127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444750" cy="1865630"/>
                    </a:xfrm>
                    <a:prstGeom prst="rect">
                      <a:avLst/>
                    </a:prstGeom>
                    <a:noFill/>
                    <a:ln>
                      <a:noFill/>
                    </a:ln>
                    <a:effectLst/>
                  </pic:spPr>
                </pic:pic>
              </a:graphicData>
            </a:graphic>
          </wp:inline>
        </w:drawing>
      </w:r>
    </w:p>
    <w:p>
      <w:pPr>
        <w:numPr>
          <w:ilvl w:val="0"/>
          <w:numId w:val="3"/>
        </w:numPr>
        <w:spacing w:line="440" w:lineRule="exact"/>
        <w:outlineLvl w:val="2"/>
        <w:rPr>
          <w:rFonts w:asciiTheme="minorHAnsi" w:hAnsiTheme="minorHAnsi" w:eastAsiaTheme="minorEastAsia" w:cstheme="minorBidi"/>
          <w:sz w:val="24"/>
          <w:szCs w:val="22"/>
        </w:rPr>
      </w:pPr>
      <w:bookmarkStart w:id="5" w:name="_Toc9908"/>
      <w:r>
        <w:rPr>
          <w:rFonts w:hint="eastAsia" w:asciiTheme="minorHAnsi" w:hAnsiTheme="minorHAnsi" w:eastAsiaTheme="minorEastAsia" w:cstheme="minorBidi"/>
          <w:sz w:val="24"/>
          <w:szCs w:val="22"/>
        </w:rPr>
        <w:t>研发了超深水大吨位钢悬链立管系统预倾回调安装技术</w:t>
      </w:r>
      <w:bookmarkEnd w:id="5"/>
    </w:p>
    <w:p>
      <w:pPr>
        <w:spacing w:before="120" w:line="440" w:lineRule="exact"/>
        <w:ind w:firstLine="480" w:firstLineChars="200"/>
        <w:rPr>
          <w:rFonts w:ascii="宋体" w:hAnsi="宋体" w:cs="宋体"/>
          <w:sz w:val="24"/>
          <w:szCs w:val="24"/>
        </w:rPr>
      </w:pPr>
      <w:r>
        <w:rPr>
          <w:rFonts w:hint="eastAsia" w:ascii="宋体" w:hAnsi="宋体" w:cs="宋体"/>
          <w:sz w:val="24"/>
          <w:szCs w:val="24"/>
        </w:rPr>
        <w:t>钢悬链立管提升系统模块位于船体上部，其与钢悬链立管顶部存在一定相对距离，在进行钢悬链立管穿越、提升过程中钢缆、立管与船体及结构物存在碰撞、干涉风险。</w:t>
      </w:r>
    </w:p>
    <w:p>
      <w:pPr>
        <w:spacing w:before="120" w:line="440" w:lineRule="exact"/>
        <w:ind w:firstLine="480" w:firstLineChars="200"/>
        <w:rPr>
          <w:rFonts w:ascii="宋体" w:hAnsi="宋体" w:cs="宋体"/>
          <w:sz w:val="24"/>
          <w:szCs w:val="24"/>
        </w:rPr>
      </w:pPr>
      <w:r>
        <w:rPr>
          <w:rFonts w:hint="eastAsia" w:ascii="宋体" w:hAnsi="宋体" w:cs="宋体"/>
          <w:sz w:val="24"/>
          <w:szCs w:val="24"/>
        </w:rPr>
        <w:t>为避免因干涉损伤船体和立管，创新性提出半潜平台预倾安装技术。钢悬链立管安装前，通过调载，使半潜平台向立管侧倾斜一定角度度，立管提升过程半潜平台回调与立管提升协同进行。</w:t>
      </w:r>
    </w:p>
    <w:p>
      <w:pPr>
        <w:spacing w:before="120"/>
        <w:jc w:val="center"/>
        <w:rPr>
          <w:rFonts w:ascii="宋体" w:hAnsi="宋体" w:cs="宋体"/>
          <w:sz w:val="24"/>
          <w:szCs w:val="24"/>
        </w:rPr>
      </w:pPr>
      <w:r>
        <w:rPr>
          <w:rFonts w:hint="eastAsia" w:ascii="宋体" w:hAnsi="宋体" w:cs="宋体"/>
          <w:sz w:val="24"/>
          <w:szCs w:val="24"/>
        </w:rPr>
        <w:drawing>
          <wp:inline distT="0" distB="0" distL="114300" distR="114300">
            <wp:extent cx="1899285" cy="1603375"/>
            <wp:effectExtent l="0" t="0" r="571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1899285" cy="1603375"/>
                    </a:xfrm>
                    <a:prstGeom prst="rect">
                      <a:avLst/>
                    </a:prstGeom>
                    <a:noFill/>
                    <a:ln>
                      <a:noFill/>
                    </a:ln>
                  </pic:spPr>
                </pic:pic>
              </a:graphicData>
            </a:graphic>
          </wp:inline>
        </w:drawing>
      </w:r>
    </w:p>
    <w:p>
      <w:pPr>
        <w:spacing w:before="120"/>
        <w:jc w:val="center"/>
      </w:pPr>
      <w:r>
        <w:rPr>
          <w:rFonts w:hint="eastAsia" w:ascii="宋体" w:hAnsi="宋体" w:cs="宋体"/>
          <w:sz w:val="24"/>
          <w:szCs w:val="24"/>
        </w:rPr>
        <w:t>图 半潜式平台预倾回调提高立管与平台安全距离</w:t>
      </w:r>
    </w:p>
    <w:p>
      <w:pPr>
        <w:numPr>
          <w:ilvl w:val="0"/>
          <w:numId w:val="1"/>
        </w:numPr>
        <w:spacing w:line="440" w:lineRule="exact"/>
        <w:outlineLvl w:val="2"/>
        <w:rPr>
          <w:rFonts w:asciiTheme="minorHAnsi" w:hAnsiTheme="minorHAnsi" w:eastAsiaTheme="minorEastAsia" w:cstheme="minorBidi"/>
          <w:sz w:val="24"/>
          <w:szCs w:val="22"/>
        </w:rPr>
      </w:pPr>
      <w:r>
        <w:rPr>
          <w:rFonts w:hint="eastAsia" w:asciiTheme="minorHAnsi" w:hAnsiTheme="minorHAnsi" w:eastAsiaTheme="minorEastAsia" w:cstheme="minorBidi"/>
          <w:sz w:val="24"/>
          <w:szCs w:val="22"/>
        </w:rPr>
        <w:t>首创了适用于1500米超深水海底管道系统高效、安全、高精度回接设施，并构建了国内首个水下生产系统安全设计与测试技术体系。</w:t>
      </w:r>
    </w:p>
    <w:p>
      <w:pPr>
        <w:numPr>
          <w:ilvl w:val="0"/>
          <w:numId w:val="4"/>
        </w:numPr>
        <w:spacing w:line="440" w:lineRule="exact"/>
        <w:outlineLvl w:val="2"/>
        <w:rPr>
          <w:rFonts w:asciiTheme="minorHAnsi" w:hAnsiTheme="minorHAnsi" w:eastAsiaTheme="minorEastAsia" w:cstheme="minorBidi"/>
          <w:sz w:val="24"/>
          <w:szCs w:val="22"/>
        </w:rPr>
      </w:pPr>
      <w:bookmarkStart w:id="6" w:name="_Toc2402"/>
      <w:r>
        <w:rPr>
          <w:rFonts w:hint="eastAsia" w:asciiTheme="minorHAnsi" w:hAnsiTheme="minorHAnsi" w:eastAsiaTheme="minorEastAsia" w:cstheme="minorBidi"/>
          <w:sz w:val="24"/>
          <w:szCs w:val="22"/>
        </w:rPr>
        <w:t>首创了适用于1500米级超深水环境的可舷侧安装的海管终端单元（简称PLET）</w:t>
      </w:r>
      <w:bookmarkEnd w:id="6"/>
    </w:p>
    <w:p>
      <w:pPr>
        <w:spacing w:before="120" w:line="440" w:lineRule="exact"/>
        <w:ind w:firstLine="480" w:firstLineChars="200"/>
        <w:rPr>
          <w:rFonts w:ascii="宋体" w:hAnsi="宋体" w:cs="宋体"/>
          <w:sz w:val="24"/>
          <w:szCs w:val="24"/>
        </w:rPr>
      </w:pPr>
      <w:r>
        <w:rPr>
          <w:rFonts w:hint="eastAsia" w:ascii="宋体" w:hAnsi="宋体" w:cs="宋体"/>
          <w:sz w:val="24"/>
          <w:szCs w:val="24"/>
        </w:rPr>
        <w:t>立管与PLET回接，需要将立管固定在船尾几个小时与海管终端单元（PLET）进行焊接和检验，海管时刻承受着风、波浪、底流和自重的交变载荷，存在屈曲的风险，给传统的S-lay铺设PLET组装带来极大风险。通过有限元分析和模拟测试的方法，创新设计了PLET船侧安装对接结构，实现了安装船舶固定结构与PLET导向槽精准配合，并通过了现场界面测试，成功安装。上述创新技术已在陵水17-2深海气田开发项目中成功应用，立管尺寸覆盖10寸/12寸/18寸3种规格，填补了国内此项技术空白，打破国外垄断。</w:t>
      </w:r>
    </w:p>
    <w:p>
      <w:pPr>
        <w:spacing w:before="120"/>
        <w:jc w:val="center"/>
        <w:rPr>
          <w:rFonts w:ascii="宋体" w:hAnsi="宋体" w:cs="宋体"/>
          <w:sz w:val="24"/>
          <w:szCs w:val="24"/>
        </w:rPr>
      </w:pPr>
      <w:r>
        <w:rPr>
          <w:rFonts w:hint="eastAsia" w:ascii="宋体" w:hAnsi="宋体" w:cs="宋体"/>
          <w:sz w:val="24"/>
          <w:szCs w:val="24"/>
        </w:rPr>
        <w:drawing>
          <wp:inline distT="0" distB="0" distL="0" distR="0">
            <wp:extent cx="2711450" cy="1693545"/>
            <wp:effectExtent l="0" t="0" r="12700" b="1905"/>
            <wp:docPr id="1321694987" name="图片 1" descr="10寸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94987" name="图片 1" descr="10寸PL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11450" cy="1693545"/>
                    </a:xfrm>
                    <a:prstGeom prst="rect">
                      <a:avLst/>
                    </a:prstGeom>
                    <a:noFill/>
                    <a:ln>
                      <a:noFill/>
                    </a:ln>
                  </pic:spPr>
                </pic:pic>
              </a:graphicData>
            </a:graphic>
          </wp:inline>
        </w:drawing>
      </w:r>
      <w:r>
        <w:rPr>
          <w:rFonts w:hint="eastAsia" w:ascii="宋体" w:hAnsi="宋体" w:cs="宋体"/>
          <w:sz w:val="24"/>
          <w:szCs w:val="24"/>
        </w:rPr>
        <w:drawing>
          <wp:inline distT="0" distB="0" distL="0" distR="0">
            <wp:extent cx="1169035" cy="1685925"/>
            <wp:effectExtent l="0" t="0" r="12065" b="9525"/>
            <wp:docPr id="354703331" name="图片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03331" name="图片 2" descr="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169035" cy="1685925"/>
                    </a:xfrm>
                    <a:prstGeom prst="rect">
                      <a:avLst/>
                    </a:prstGeom>
                    <a:noFill/>
                    <a:ln>
                      <a:noFill/>
                    </a:ln>
                    <a:effectLst/>
                  </pic:spPr>
                </pic:pic>
              </a:graphicData>
            </a:graphic>
          </wp:inline>
        </w:drawing>
      </w:r>
    </w:p>
    <w:p>
      <w:pPr>
        <w:numPr>
          <w:ilvl w:val="0"/>
          <w:numId w:val="4"/>
        </w:numPr>
        <w:spacing w:line="440" w:lineRule="exact"/>
        <w:outlineLvl w:val="2"/>
        <w:rPr>
          <w:rFonts w:asciiTheme="minorHAnsi" w:hAnsiTheme="minorHAnsi" w:eastAsiaTheme="minorEastAsia" w:cstheme="minorBidi"/>
          <w:sz w:val="24"/>
          <w:szCs w:val="22"/>
        </w:rPr>
      </w:pPr>
      <w:bookmarkStart w:id="7" w:name="_Toc19897"/>
      <w:r>
        <w:rPr>
          <w:rFonts w:hint="eastAsia" w:asciiTheme="minorHAnsi" w:hAnsiTheme="minorHAnsi" w:eastAsiaTheme="minorEastAsia" w:cstheme="minorBidi"/>
          <w:sz w:val="24"/>
          <w:szCs w:val="22"/>
        </w:rPr>
        <w:t>首创了适用于1500米级超深水环境的高精度对接水下模块</w:t>
      </w:r>
      <w:bookmarkEnd w:id="7"/>
    </w:p>
    <w:p>
      <w:pPr>
        <w:spacing w:before="120" w:line="440" w:lineRule="exact"/>
        <w:ind w:firstLine="480" w:firstLineChars="200"/>
        <w:rPr>
          <w:rFonts w:ascii="宋体" w:hAnsi="宋体" w:cs="宋体"/>
          <w:sz w:val="24"/>
          <w:szCs w:val="24"/>
        </w:rPr>
      </w:pPr>
      <w:r>
        <w:rPr>
          <w:rFonts w:hint="eastAsia" w:ascii="宋体" w:hAnsi="宋体" w:cs="宋体"/>
          <w:sz w:val="24"/>
          <w:szCs w:val="24"/>
        </w:rPr>
        <w:t>为了确保后安装的水下设施中的工艺管线与已经安装水下设施的工艺管线能够准确对中和连接，设计团队创新性的设计出配备辅助升降结构的水下设施保护罩，首次实现水下已建设施安装定位的可伸缩导向装置，克服了由于已安装设施沉降的不确定性带来的管道对中不准确难题。该创新技术是海油工程首次独立完成，达到国际领先水平，方案及成果文件得到业主和独立第三方认可。应用该技术可至少节约海上施工1个船天，节省海上施工成本。具体创新技术如下：</w:t>
      </w:r>
    </w:p>
    <w:p>
      <w:pPr>
        <w:spacing w:before="120" w:line="440" w:lineRule="exact"/>
        <w:ind w:firstLine="480" w:firstLineChars="200"/>
        <w:rPr>
          <w:rFonts w:ascii="宋体" w:hAnsi="宋体" w:cs="宋体"/>
          <w:sz w:val="24"/>
          <w:szCs w:val="24"/>
        </w:rPr>
      </w:pPr>
      <w:bookmarkStart w:id="8" w:name="_Toc22652"/>
      <w:r>
        <w:rPr>
          <w:rFonts w:hint="eastAsia" w:ascii="宋体" w:hAnsi="宋体" w:cs="宋体"/>
          <w:sz w:val="24"/>
          <w:szCs w:val="24"/>
        </w:rPr>
        <w:t>（1）可伸缩导向装置</w:t>
      </w:r>
      <w:bookmarkEnd w:id="8"/>
    </w:p>
    <w:p>
      <w:pPr>
        <w:spacing w:before="120" w:line="440" w:lineRule="exact"/>
        <w:ind w:firstLine="480" w:firstLineChars="200"/>
        <w:rPr>
          <w:rFonts w:ascii="宋体" w:hAnsi="宋体" w:cs="宋体"/>
          <w:sz w:val="24"/>
          <w:szCs w:val="24"/>
        </w:rPr>
      </w:pPr>
      <w:r>
        <w:rPr>
          <w:rFonts w:hint="eastAsia" w:ascii="宋体" w:hAnsi="宋体" w:cs="宋体"/>
          <w:sz w:val="24"/>
          <w:szCs w:val="24"/>
        </w:rPr>
        <w:t>水下已建设施安装定位的可伸缩导向装置，设有定位架、伸缩导向杆以及扭转抑制装置。其中定位架可以将在一个维度上的安装精度控制在200mm以内，伸缩导向杆可以有效避免水下设备下放时与安装目标发生破坏性碰撞，扭转抑制装置则用于抑制导向杆在水下设备下放过程中发生圆周运动而影响安装。陵水详设项目组设计团队在带压开孔保护罩的设计上第一次应用该设计成果，安装时保护罩仅偏转1.7度，确保了安装精度的要求。</w:t>
      </w:r>
    </w:p>
    <w:p>
      <w:pPr>
        <w:spacing w:before="120" w:after="120"/>
        <w:jc w:val="center"/>
        <w:rPr>
          <w:rFonts w:ascii="宋体" w:hAnsi="宋体" w:cs="宋体"/>
          <w:sz w:val="24"/>
          <w:szCs w:val="24"/>
        </w:rPr>
      </w:pPr>
      <w:r>
        <w:rPr>
          <w:rFonts w:hint="eastAsia" w:ascii="宋体" w:hAnsi="宋体" w:cs="宋体"/>
          <w:sz w:val="24"/>
          <w:szCs w:val="24"/>
        </w:rPr>
        <w:drawing>
          <wp:inline distT="0" distB="0" distL="0" distR="0">
            <wp:extent cx="2759075" cy="1709420"/>
            <wp:effectExtent l="0" t="0" r="3175" b="5080"/>
            <wp:docPr id="465790151" name="图片 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90151" name="图片 3" descr="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59075" cy="1709420"/>
                    </a:xfrm>
                    <a:prstGeom prst="rect">
                      <a:avLst/>
                    </a:prstGeom>
                    <a:noFill/>
                    <a:ln>
                      <a:noFill/>
                    </a:ln>
                    <a:effectLst/>
                  </pic:spPr>
                </pic:pic>
              </a:graphicData>
            </a:graphic>
          </wp:inline>
        </w:drawing>
      </w:r>
      <w:r>
        <w:rPr>
          <w:rFonts w:hint="eastAsia" w:ascii="宋体" w:hAnsi="宋体" w:cs="宋体"/>
          <w:sz w:val="24"/>
          <w:szCs w:val="24"/>
        </w:rPr>
        <w:drawing>
          <wp:inline distT="0" distB="0" distL="0" distR="0">
            <wp:extent cx="1605915" cy="1471295"/>
            <wp:effectExtent l="0" t="0" r="13335" b="14605"/>
            <wp:docPr id="1169752988"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52988" name="图片 4" descr="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605915" cy="1471295"/>
                    </a:xfrm>
                    <a:prstGeom prst="rect">
                      <a:avLst/>
                    </a:prstGeom>
                    <a:noFill/>
                    <a:ln>
                      <a:noFill/>
                    </a:ln>
                  </pic:spPr>
                </pic:pic>
              </a:graphicData>
            </a:graphic>
          </wp:inline>
        </w:drawing>
      </w:r>
    </w:p>
    <w:p>
      <w:pPr>
        <w:spacing w:before="120" w:line="440" w:lineRule="exact"/>
        <w:ind w:firstLine="480" w:firstLineChars="200"/>
        <w:rPr>
          <w:rFonts w:ascii="宋体" w:hAnsi="宋体" w:cs="宋体"/>
          <w:sz w:val="24"/>
          <w:szCs w:val="24"/>
        </w:rPr>
      </w:pPr>
      <w:bookmarkStart w:id="9" w:name="_Toc6667"/>
      <w:r>
        <w:rPr>
          <w:rFonts w:hint="eastAsia" w:ascii="宋体" w:hAnsi="宋体" w:cs="宋体"/>
          <w:sz w:val="24"/>
          <w:szCs w:val="24"/>
        </w:rPr>
        <w:t>（2）在防护结构上设置辅助升降结构</w:t>
      </w:r>
      <w:bookmarkEnd w:id="9"/>
    </w:p>
    <w:p>
      <w:pPr>
        <w:spacing w:before="120" w:line="440" w:lineRule="exact"/>
        <w:ind w:firstLine="480" w:firstLineChars="200"/>
        <w:rPr>
          <w:rFonts w:ascii="宋体" w:hAnsi="宋体" w:cs="宋体"/>
          <w:sz w:val="24"/>
          <w:szCs w:val="24"/>
        </w:rPr>
      </w:pPr>
      <w:r>
        <w:rPr>
          <w:rFonts w:hint="eastAsia" w:ascii="宋体" w:hAnsi="宋体" w:cs="宋体"/>
          <w:sz w:val="24"/>
          <w:szCs w:val="24"/>
        </w:rPr>
        <w:t>辅助升降结构由两部分组成：设备支撑结构和升降结构。其中设备支撑结构形式较为简单，只要强度和支撑平台满足支撑要求即可；升降设备为一丝杆，通过调节丝杆的螺纹长度，来调整支撑平台的高度。升降结构底部与支撑结构用螺栓进行连接，其上部通过螺栓与已建设施保护结构顶部框架连接。</w:t>
      </w:r>
    </w:p>
    <w:p>
      <w:pPr>
        <w:spacing w:before="120" w:after="120"/>
        <w:jc w:val="center"/>
        <w:rPr>
          <w:rFonts w:ascii="宋体" w:hAnsi="宋体" w:cs="宋体"/>
          <w:sz w:val="24"/>
          <w:szCs w:val="24"/>
        </w:rPr>
      </w:pPr>
      <w:r>
        <w:rPr>
          <w:rFonts w:hint="eastAsia" w:ascii="宋体" w:hAnsi="宋体" w:cs="宋体"/>
          <w:sz w:val="24"/>
          <w:szCs w:val="24"/>
        </w:rPr>
        <w:drawing>
          <wp:inline distT="0" distB="0" distL="0" distR="0">
            <wp:extent cx="1788795" cy="2099310"/>
            <wp:effectExtent l="0" t="0" r="1905" b="15240"/>
            <wp:docPr id="161751414" name="图片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1414" name="图片 5" descr="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88795" cy="2099310"/>
                    </a:xfrm>
                    <a:prstGeom prst="rect">
                      <a:avLst/>
                    </a:prstGeom>
                    <a:noFill/>
                    <a:ln>
                      <a:noFill/>
                    </a:ln>
                  </pic:spPr>
                </pic:pic>
              </a:graphicData>
            </a:graphic>
          </wp:inline>
        </w:drawing>
      </w:r>
      <w:r>
        <w:rPr>
          <w:rFonts w:hint="eastAsia" w:ascii="宋体" w:hAnsi="宋体" w:cs="宋体"/>
          <w:sz w:val="24"/>
          <w:szCs w:val="24"/>
        </w:rPr>
        <w:drawing>
          <wp:inline distT="0" distB="0" distL="0" distR="0">
            <wp:extent cx="1375410" cy="2099310"/>
            <wp:effectExtent l="0" t="0" r="15240" b="15240"/>
            <wp:docPr id="1577144336" name="图片 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44336" name="图片 6" descr="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5410" cy="2099310"/>
                    </a:xfrm>
                    <a:prstGeom prst="rect">
                      <a:avLst/>
                    </a:prstGeom>
                    <a:noFill/>
                    <a:ln>
                      <a:noFill/>
                    </a:ln>
                  </pic:spPr>
                </pic:pic>
              </a:graphicData>
            </a:graphic>
          </wp:inline>
        </w:drawing>
      </w:r>
      <w:r>
        <w:rPr>
          <w:rFonts w:hint="eastAsia" w:ascii="宋体" w:hAnsi="宋体" w:cs="宋体"/>
          <w:sz w:val="24"/>
          <w:szCs w:val="24"/>
        </w:rPr>
        <w:drawing>
          <wp:inline distT="0" distB="0" distL="0" distR="0">
            <wp:extent cx="1566545" cy="2059305"/>
            <wp:effectExtent l="0" t="0" r="14605" b="17145"/>
            <wp:docPr id="1013649752" name="图片 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49752" name="图片 7" descr="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66545" cy="2059305"/>
                    </a:xfrm>
                    <a:prstGeom prst="rect">
                      <a:avLst/>
                    </a:prstGeom>
                    <a:noFill/>
                    <a:ln>
                      <a:noFill/>
                    </a:ln>
                  </pic:spPr>
                </pic:pic>
              </a:graphicData>
            </a:graphic>
          </wp:inline>
        </w:drawing>
      </w:r>
    </w:p>
    <w:p>
      <w:pPr>
        <w:numPr>
          <w:ilvl w:val="0"/>
          <w:numId w:val="4"/>
        </w:numPr>
        <w:spacing w:line="440" w:lineRule="exact"/>
        <w:outlineLvl w:val="2"/>
        <w:rPr>
          <w:rFonts w:asciiTheme="minorHAnsi" w:hAnsiTheme="minorHAnsi" w:eastAsiaTheme="minorEastAsia" w:cstheme="minorBidi"/>
          <w:sz w:val="24"/>
          <w:szCs w:val="22"/>
        </w:rPr>
      </w:pPr>
      <w:bookmarkStart w:id="10" w:name="_Toc13387"/>
      <w:r>
        <w:rPr>
          <w:rFonts w:hint="eastAsia" w:asciiTheme="minorHAnsi" w:hAnsiTheme="minorHAnsi" w:eastAsiaTheme="minorEastAsia" w:cstheme="minorBidi"/>
          <w:sz w:val="24"/>
          <w:szCs w:val="22"/>
        </w:rPr>
        <w:t>首创了水下生产系统安全设计与测试技术体系</w:t>
      </w:r>
      <w:bookmarkEnd w:id="10"/>
    </w:p>
    <w:p>
      <w:pPr>
        <w:spacing w:before="120" w:line="440" w:lineRule="exact"/>
        <w:ind w:firstLine="480" w:firstLineChars="200"/>
        <w:rPr>
          <w:rFonts w:ascii="宋体" w:hAnsi="宋体" w:cs="宋体"/>
          <w:sz w:val="24"/>
          <w:szCs w:val="24"/>
        </w:rPr>
      </w:pPr>
      <w:r>
        <w:rPr>
          <w:rFonts w:hint="eastAsia" w:ascii="宋体" w:hAnsi="宋体" w:cs="宋体"/>
          <w:sz w:val="24"/>
          <w:szCs w:val="24"/>
        </w:rPr>
        <w:t>在国内外首次提出基于风险控制的水下生产系统及设备安全认证准则。基于水下生产系统设备的风险控制要求及水下生产系统工程检验经验，制定了不同重要度等级水下生产设备设计、制造、测试的安全质量技术要求。在国内、外率先给出了典型水下连接系统设计认可、性能验证方法及衡准，摆脱了水下连接系统研发无专业标准依据的困境，支撑了工信部项目工程样机的设计、制造、测试与认证。</w:t>
      </w:r>
    </w:p>
    <w:p>
      <w:pPr>
        <w:spacing w:before="120" w:line="440" w:lineRule="exact"/>
        <w:ind w:firstLine="480" w:firstLineChars="200"/>
        <w:rPr>
          <w:rFonts w:ascii="宋体" w:hAnsi="宋体" w:cs="宋体"/>
          <w:sz w:val="24"/>
          <w:szCs w:val="24"/>
        </w:rPr>
      </w:pPr>
      <w:r>
        <w:rPr>
          <w:rFonts w:hint="eastAsia" w:ascii="宋体" w:hAnsi="宋体" w:cs="宋体"/>
          <w:sz w:val="24"/>
          <w:szCs w:val="24"/>
        </w:rPr>
        <w:t>国内外首次提出基于工作海水环境温度的压力-温度循环试验方法及衡准。解决了我国南海水下装备压力-温度（P-T）循环试验的工程测试衡准问题。也为水下连接器、水下两相湿气流量计等承压水下设备的性能测试提供了基于工程实际的验证方法和衡准。</w:t>
      </w:r>
    </w:p>
    <w:p>
      <w:pPr>
        <w:spacing w:before="120" w:line="440" w:lineRule="exact"/>
        <w:ind w:firstLine="480" w:firstLineChars="200"/>
        <w:rPr>
          <w:rFonts w:ascii="仿宋_GB2312" w:hAnsi="仿宋_GB2312" w:eastAsia="仿宋_GB2312" w:cs="仿宋_GB2312"/>
          <w:sz w:val="30"/>
          <w:szCs w:val="30"/>
        </w:rPr>
      </w:pPr>
      <w:r>
        <w:rPr>
          <w:rFonts w:hint="eastAsia" w:ascii="宋体" w:hAnsi="宋体" w:cs="宋体"/>
          <w:sz w:val="24"/>
          <w:szCs w:val="24"/>
        </w:rPr>
        <w:t>基于水下生产系统设备安装、操作、回收过程控制要素和特点，首次提出“工程环境测试”的方法与衡准，制定了工程环境测试与海试的技术要求，解决了水下设备在工程研发阶段海试难、费用高的问题。</w:t>
      </w:r>
    </w:p>
    <w:p>
      <w:pPr>
        <w:pStyle w:val="56"/>
        <w:rPr>
          <w:rFonts w:cs="Times New Roman"/>
          <w:color w:val="auto"/>
        </w:rPr>
      </w:pPr>
    </w:p>
    <w:p>
      <w:pPr>
        <w:spacing w:before="120" w:line="440" w:lineRule="exact"/>
        <w:rPr>
          <w:rFonts w:ascii="仿宋_GB2312" w:hAnsi="仿宋_GB2312" w:eastAsia="仿宋_GB2312" w:cs="仿宋_GB2312"/>
          <w:sz w:val="30"/>
          <w:szCs w:val="30"/>
        </w:rPr>
      </w:pPr>
    </w:p>
    <w:p>
      <w:pPr>
        <w:spacing w:after="156" w:afterLines="50" w:line="360" w:lineRule="exact"/>
        <w:rPr>
          <w:rFonts w:ascii="仿宋_GB2312" w:hAnsi="仿宋_GB2312" w:eastAsia="仿宋_GB2312" w:cs="仿宋_GB2312"/>
          <w:sz w:val="28"/>
          <w:szCs w:val="28"/>
        </w:rPr>
      </w:pPr>
    </w:p>
    <w:p>
      <w:pPr>
        <w:spacing w:after="156" w:afterLines="50" w:line="360" w:lineRule="exact"/>
        <w:rPr>
          <w:rFonts w:ascii="楷体_GB2312" w:hAnsi="楷体_GB2312" w:eastAsia="楷体_GB2312" w:cs="楷体_GB2312"/>
          <w:b/>
          <w:sz w:val="32"/>
          <w:szCs w:val="32"/>
        </w:rPr>
      </w:pPr>
    </w:p>
    <w:p>
      <w:pPr>
        <w:spacing w:after="156" w:afterLines="50" w:line="360" w:lineRule="exact"/>
        <w:rPr>
          <w:rFonts w:ascii="楷体_GB2312" w:hAnsi="楷体_GB2312" w:eastAsia="楷体_GB2312" w:cs="楷体_GB2312"/>
          <w:b/>
          <w:sz w:val="32"/>
          <w:szCs w:val="32"/>
        </w:rPr>
      </w:pPr>
    </w:p>
    <w:p>
      <w:pPr>
        <w:spacing w:after="156" w:afterLines="50" w:line="360" w:lineRule="exact"/>
        <w:rPr>
          <w:rFonts w:ascii="楷体_GB2312" w:hAnsi="楷体_GB2312" w:eastAsia="楷体_GB2312" w:cs="楷体_GB2312"/>
          <w:b/>
          <w:sz w:val="32"/>
          <w:szCs w:val="32"/>
        </w:rPr>
      </w:pPr>
    </w:p>
    <w:p>
      <w:pPr>
        <w:spacing w:after="156" w:afterLines="50" w:line="360" w:lineRule="exact"/>
        <w:rPr>
          <w:rFonts w:ascii="楷体_GB2312" w:hAnsi="楷体_GB2312" w:eastAsia="楷体_GB2312" w:cs="楷体_GB2312"/>
          <w:b/>
          <w:sz w:val="32"/>
          <w:szCs w:val="32"/>
        </w:rPr>
      </w:pPr>
    </w:p>
    <w:p>
      <w:pPr>
        <w:spacing w:after="156" w:afterLines="50" w:line="360" w:lineRule="exact"/>
        <w:rPr>
          <w:rFonts w:ascii="楷体_GB2312" w:hAnsi="楷体_GB2312" w:eastAsia="楷体_GB2312" w:cs="楷体_GB2312"/>
          <w:b/>
          <w:sz w:val="32"/>
          <w:szCs w:val="32"/>
        </w:rPr>
      </w:pPr>
    </w:p>
    <w:p>
      <w:pPr>
        <w:spacing w:after="156" w:afterLines="50" w:line="360" w:lineRule="exact"/>
        <w:rPr>
          <w:rFonts w:ascii="楷体_GB2312" w:hAnsi="楷体_GB2312" w:eastAsia="楷体_GB2312" w:cs="楷体_GB2312"/>
          <w:b/>
          <w:sz w:val="32"/>
          <w:szCs w:val="32"/>
        </w:rPr>
      </w:pPr>
    </w:p>
    <w:p>
      <w:pPr>
        <w:spacing w:after="156" w:afterLines="50" w:line="360" w:lineRule="exact"/>
        <w:rPr>
          <w:rFonts w:ascii="楷体_GB2312" w:hAnsi="楷体_GB2312" w:eastAsia="楷体_GB2312" w:cs="楷体_GB2312"/>
          <w:b/>
          <w:sz w:val="32"/>
          <w:szCs w:val="32"/>
        </w:rPr>
      </w:pPr>
    </w:p>
    <w:p>
      <w:pPr>
        <w:spacing w:after="156" w:afterLines="50" w:line="360" w:lineRule="exact"/>
        <w:rPr>
          <w:rFonts w:ascii="楷体_GB2312" w:hAnsi="楷体_GB2312" w:eastAsia="楷体_GB2312" w:cs="楷体_GB2312"/>
          <w:b/>
          <w:sz w:val="32"/>
          <w:szCs w:val="32"/>
        </w:rPr>
      </w:pPr>
    </w:p>
    <w:p>
      <w:pPr>
        <w:spacing w:after="156" w:afterLines="50" w:line="360" w:lineRule="exact"/>
        <w:rPr>
          <w:rFonts w:ascii="楷体_GB2312" w:hAnsi="楷体_GB2312" w:eastAsia="楷体_GB2312" w:cs="楷体_GB2312"/>
          <w:b/>
          <w:sz w:val="32"/>
          <w:szCs w:val="32"/>
        </w:rPr>
      </w:pPr>
    </w:p>
    <w:p>
      <w:pPr>
        <w:spacing w:after="156" w:afterLines="50" w:line="360" w:lineRule="exact"/>
        <w:rPr>
          <w:rFonts w:ascii="楷体_GB2312" w:hAnsi="楷体_GB2312" w:eastAsia="楷体_GB2312" w:cs="楷体_GB2312"/>
          <w:b/>
          <w:sz w:val="32"/>
          <w:szCs w:val="32"/>
        </w:rPr>
      </w:pPr>
    </w:p>
    <w:p>
      <w:pPr>
        <w:spacing w:after="156" w:afterLines="50" w:line="360" w:lineRule="exact"/>
        <w:rPr>
          <w:rFonts w:ascii="楷体_GB2312" w:hAnsi="楷体_GB2312" w:eastAsia="楷体_GB2312" w:cs="楷体_GB2312"/>
          <w:b/>
          <w:sz w:val="32"/>
          <w:szCs w:val="32"/>
        </w:rPr>
      </w:pPr>
    </w:p>
    <w:p>
      <w:pPr>
        <w:pStyle w:val="28"/>
        <w:spacing w:after="156" w:afterLines="50" w:line="360" w:lineRule="exact"/>
        <w:ind w:firstLine="0" w:firstLineChars="0"/>
        <w:rPr>
          <w:rStyle w:val="27"/>
          <w:rFonts w:ascii="仿宋_GB2312" w:hAnsi="黑体" w:eastAsia="仿宋_GB2312"/>
          <w:sz w:val="32"/>
          <w:szCs w:val="32"/>
        </w:rPr>
      </w:pPr>
      <w:bookmarkStart w:id="11" w:name="_GoBack"/>
      <w:bookmarkEnd w:id="11"/>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B0604020202020204"/>
    <w:charset w:val="00"/>
    <w:family w:val="auto"/>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20B0604020202020204"/>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B0604020202020204"/>
    <w:charset w:val="86"/>
    <w:family w:val="modern"/>
    <w:pitch w:val="default"/>
    <w:sig w:usb0="00000000" w:usb1="00000000" w:usb2="00000000" w:usb3="00000000" w:csb0="00040000" w:csb1="00000000"/>
  </w:font>
  <w:font w:name="方正小标宋简体">
    <w:altName w:val="微软雅黑"/>
    <w:panose1 w:val="020B0604020202020204"/>
    <w:charset w:val="86"/>
    <w:family w:val="script"/>
    <w:pitch w:val="default"/>
    <w:sig w:usb0="00000000" w:usb1="00000000" w:usb2="00000012" w:usb3="00000000" w:csb0="00040001" w:csb1="00000000"/>
  </w:font>
  <w:font w:name="汉仪书宋二S">
    <w:altName w:val="宋体"/>
    <w:panose1 w:val="020B0604020202020204"/>
    <w:charset w:val="86"/>
    <w:family w:val="auto"/>
    <w:pitch w:val="default"/>
    <w:sig w:usb0="00000000" w:usb1="00000000" w:usb2="00000016"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44954912"/>
                          </w:sdtPr>
                          <w:sdtEndPr>
                            <w:rPr>
                              <w:sz w:val="18"/>
                              <w:szCs w:val="18"/>
                            </w:rPr>
                          </w:sdtEndPr>
                          <w:sdtContent>
                            <w:p>
                              <w:pPr>
                                <w:snapToGrid w:val="0"/>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38</w:t>
                              </w:r>
                              <w:r>
                                <w:rPr>
                                  <w:sz w:val="18"/>
                                  <w:szCs w:val="18"/>
                                </w:rPr>
                                <w:fldChar w:fldCharType="end"/>
                              </w:r>
                            </w:p>
                          </w:sdtContent>
                        </w:sdt>
                        <w:p>
                          <w:pPr>
                            <w:rPr>
                              <w:sz w:val="18"/>
                              <w:szCs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944954912"/>
                    </w:sdtPr>
                    <w:sdtEndPr>
                      <w:rPr>
                        <w:sz w:val="18"/>
                        <w:szCs w:val="18"/>
                      </w:rPr>
                    </w:sdtEndPr>
                    <w:sdtContent>
                      <w:p>
                        <w:pPr>
                          <w:snapToGrid w:val="0"/>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38</w:t>
                        </w:r>
                        <w:r>
                          <w:rPr>
                            <w:sz w:val="18"/>
                            <w:szCs w:val="18"/>
                          </w:rPr>
                          <w:fldChar w:fldCharType="end"/>
                        </w:r>
                      </w:p>
                    </w:sdtContent>
                  </w:sdt>
                  <w:p>
                    <w:pPr>
                      <w:rPr>
                        <w:sz w:val="18"/>
                        <w:szCs w:val="18"/>
                      </w:rPr>
                    </w:pPr>
                  </w:p>
                </w:txbxContent>
              </v:textbox>
            </v:shape>
          </w:pict>
        </mc:Fallback>
      </mc:AlternateContent>
    </w:r>
  </w:p>
  <w:p>
    <w:pPr>
      <w:snapToGrid w:val="0"/>
      <w:jc w:val="left"/>
      <w:rPr>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18B5AD"/>
    <w:multiLevelType w:val="singleLevel"/>
    <w:tmpl w:val="BA18B5AD"/>
    <w:lvl w:ilvl="0" w:tentative="0">
      <w:start w:val="1"/>
      <w:numFmt w:val="decimal"/>
      <w:lvlText w:val="2.2.%1"/>
      <w:lvlJc w:val="left"/>
      <w:pPr>
        <w:tabs>
          <w:tab w:val="left" w:pos="420"/>
        </w:tabs>
        <w:ind w:left="425" w:hanging="425"/>
      </w:pPr>
      <w:rPr>
        <w:rFonts w:hint="default" w:ascii="宋体" w:hAnsi="宋体" w:eastAsia="宋体" w:cs="宋体"/>
      </w:rPr>
    </w:lvl>
  </w:abstractNum>
  <w:abstractNum w:abstractNumId="1">
    <w:nsid w:val="ED2261CC"/>
    <w:multiLevelType w:val="singleLevel"/>
    <w:tmpl w:val="ED2261CC"/>
    <w:lvl w:ilvl="0" w:tentative="0">
      <w:start w:val="1"/>
      <w:numFmt w:val="decimal"/>
      <w:lvlText w:val="2.1.%1"/>
      <w:lvlJc w:val="left"/>
      <w:pPr>
        <w:tabs>
          <w:tab w:val="left" w:pos="420"/>
        </w:tabs>
        <w:ind w:left="425" w:hanging="425"/>
      </w:pPr>
      <w:rPr>
        <w:rFonts w:hint="default"/>
      </w:rPr>
    </w:lvl>
  </w:abstractNum>
  <w:abstractNum w:abstractNumId="2">
    <w:nsid w:val="FCDF3440"/>
    <w:multiLevelType w:val="singleLevel"/>
    <w:tmpl w:val="FCDF3440"/>
    <w:lvl w:ilvl="0" w:tentative="0">
      <w:start w:val="1"/>
      <w:numFmt w:val="decimal"/>
      <w:lvlText w:val="2.3.%1"/>
      <w:lvlJc w:val="left"/>
      <w:pPr>
        <w:tabs>
          <w:tab w:val="left" w:pos="420"/>
        </w:tabs>
        <w:ind w:left="425" w:hanging="425"/>
      </w:pPr>
      <w:rPr>
        <w:rFonts w:hint="default" w:ascii="宋体" w:hAnsi="宋体" w:eastAsia="宋体" w:cs="宋体"/>
      </w:rPr>
    </w:lvl>
  </w:abstractNum>
  <w:abstractNum w:abstractNumId="3">
    <w:nsid w:val="3F48114C"/>
    <w:multiLevelType w:val="singleLevel"/>
    <w:tmpl w:val="3F48114C"/>
    <w:lvl w:ilvl="0" w:tentative="0">
      <w:start w:val="1"/>
      <w:numFmt w:val="decimal"/>
      <w:lvlText w:val="2.%1"/>
      <w:lvlJc w:val="left"/>
      <w:pPr>
        <w:tabs>
          <w:tab w:val="left" w:pos="420"/>
        </w:tabs>
        <w:ind w:left="425" w:hanging="425"/>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trackRevisions w:val="1"/>
  <w:documentProtection w:edit="forms" w:enforcement="0"/>
  <w:defaultTabStop w:val="420"/>
  <w:drawingGridHorizontalSpacing w:val="105"/>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kNTVlNGMwYWIyNDZiN2YyMjIxMTZlYzEwZGM2ZDIifQ=="/>
  </w:docVars>
  <w:rsids>
    <w:rsidRoot w:val="0066448F"/>
    <w:rsid w:val="00004098"/>
    <w:rsid w:val="00010199"/>
    <w:rsid w:val="00037703"/>
    <w:rsid w:val="00040303"/>
    <w:rsid w:val="00046098"/>
    <w:rsid w:val="000473F2"/>
    <w:rsid w:val="000516F1"/>
    <w:rsid w:val="0005576F"/>
    <w:rsid w:val="0005728E"/>
    <w:rsid w:val="000610F5"/>
    <w:rsid w:val="00061EBE"/>
    <w:rsid w:val="00064F81"/>
    <w:rsid w:val="000730F2"/>
    <w:rsid w:val="0007399B"/>
    <w:rsid w:val="000754C4"/>
    <w:rsid w:val="00077EA8"/>
    <w:rsid w:val="0008177C"/>
    <w:rsid w:val="000941AB"/>
    <w:rsid w:val="000942E6"/>
    <w:rsid w:val="00097484"/>
    <w:rsid w:val="000A3B48"/>
    <w:rsid w:val="000A49A2"/>
    <w:rsid w:val="000B6A79"/>
    <w:rsid w:val="000D16C8"/>
    <w:rsid w:val="000D45D6"/>
    <w:rsid w:val="000D51D6"/>
    <w:rsid w:val="000E2E7E"/>
    <w:rsid w:val="000E4766"/>
    <w:rsid w:val="000E4CD4"/>
    <w:rsid w:val="00111594"/>
    <w:rsid w:val="001207D7"/>
    <w:rsid w:val="001277FF"/>
    <w:rsid w:val="00135D62"/>
    <w:rsid w:val="001403A5"/>
    <w:rsid w:val="00140A44"/>
    <w:rsid w:val="0015638D"/>
    <w:rsid w:val="001662E2"/>
    <w:rsid w:val="001701AB"/>
    <w:rsid w:val="001846B7"/>
    <w:rsid w:val="0018763E"/>
    <w:rsid w:val="00195CD5"/>
    <w:rsid w:val="001B4E56"/>
    <w:rsid w:val="001C0CC3"/>
    <w:rsid w:val="001C1627"/>
    <w:rsid w:val="001C3E0A"/>
    <w:rsid w:val="001E4BB1"/>
    <w:rsid w:val="001F5CFA"/>
    <w:rsid w:val="0021792F"/>
    <w:rsid w:val="0025017F"/>
    <w:rsid w:val="002650CB"/>
    <w:rsid w:val="00266096"/>
    <w:rsid w:val="00270AC0"/>
    <w:rsid w:val="00275049"/>
    <w:rsid w:val="0027577D"/>
    <w:rsid w:val="0028482D"/>
    <w:rsid w:val="00296E59"/>
    <w:rsid w:val="002B0E34"/>
    <w:rsid w:val="002B16C7"/>
    <w:rsid w:val="002B2C9C"/>
    <w:rsid w:val="002B5467"/>
    <w:rsid w:val="002C1DA0"/>
    <w:rsid w:val="002D0645"/>
    <w:rsid w:val="002D11E1"/>
    <w:rsid w:val="002D6E87"/>
    <w:rsid w:val="002E02CF"/>
    <w:rsid w:val="00302941"/>
    <w:rsid w:val="0030363D"/>
    <w:rsid w:val="00320F72"/>
    <w:rsid w:val="00323B4F"/>
    <w:rsid w:val="003453C6"/>
    <w:rsid w:val="00365AB5"/>
    <w:rsid w:val="00380EB2"/>
    <w:rsid w:val="00383993"/>
    <w:rsid w:val="00387705"/>
    <w:rsid w:val="00394E34"/>
    <w:rsid w:val="003C04C3"/>
    <w:rsid w:val="003C48B7"/>
    <w:rsid w:val="003D3DB4"/>
    <w:rsid w:val="003D5EB6"/>
    <w:rsid w:val="003D6C9C"/>
    <w:rsid w:val="003E11CC"/>
    <w:rsid w:val="003E5E0E"/>
    <w:rsid w:val="003F0502"/>
    <w:rsid w:val="003F2E3A"/>
    <w:rsid w:val="003F4EE5"/>
    <w:rsid w:val="00404A22"/>
    <w:rsid w:val="00404F23"/>
    <w:rsid w:val="00410C71"/>
    <w:rsid w:val="0041333A"/>
    <w:rsid w:val="00420932"/>
    <w:rsid w:val="00422B4A"/>
    <w:rsid w:val="004262CA"/>
    <w:rsid w:val="00426863"/>
    <w:rsid w:val="00434A31"/>
    <w:rsid w:val="00455168"/>
    <w:rsid w:val="00455206"/>
    <w:rsid w:val="00471831"/>
    <w:rsid w:val="004764C5"/>
    <w:rsid w:val="00484BD6"/>
    <w:rsid w:val="004B0147"/>
    <w:rsid w:val="004B4DAA"/>
    <w:rsid w:val="004C5D9B"/>
    <w:rsid w:val="004C76BF"/>
    <w:rsid w:val="004D11D9"/>
    <w:rsid w:val="004E0562"/>
    <w:rsid w:val="004E7B8D"/>
    <w:rsid w:val="004F4C18"/>
    <w:rsid w:val="00504784"/>
    <w:rsid w:val="005051F7"/>
    <w:rsid w:val="005055FC"/>
    <w:rsid w:val="00516772"/>
    <w:rsid w:val="00532CB1"/>
    <w:rsid w:val="00544213"/>
    <w:rsid w:val="005638E1"/>
    <w:rsid w:val="00574A83"/>
    <w:rsid w:val="0058616B"/>
    <w:rsid w:val="005963B2"/>
    <w:rsid w:val="005B0F2A"/>
    <w:rsid w:val="005C121D"/>
    <w:rsid w:val="005C6175"/>
    <w:rsid w:val="005D73B7"/>
    <w:rsid w:val="005E0BFE"/>
    <w:rsid w:val="005E5675"/>
    <w:rsid w:val="005F6EDF"/>
    <w:rsid w:val="00601AD4"/>
    <w:rsid w:val="00602D89"/>
    <w:rsid w:val="00604678"/>
    <w:rsid w:val="00606829"/>
    <w:rsid w:val="00612CBC"/>
    <w:rsid w:val="00614F0F"/>
    <w:rsid w:val="0063286E"/>
    <w:rsid w:val="00646250"/>
    <w:rsid w:val="00652936"/>
    <w:rsid w:val="0065556F"/>
    <w:rsid w:val="00655FC3"/>
    <w:rsid w:val="006565DE"/>
    <w:rsid w:val="0066448F"/>
    <w:rsid w:val="00665A6E"/>
    <w:rsid w:val="00671809"/>
    <w:rsid w:val="00674ABF"/>
    <w:rsid w:val="006938C6"/>
    <w:rsid w:val="006A06F3"/>
    <w:rsid w:val="006B629E"/>
    <w:rsid w:val="006B694E"/>
    <w:rsid w:val="006D0398"/>
    <w:rsid w:val="006E2F07"/>
    <w:rsid w:val="006E4404"/>
    <w:rsid w:val="006E6B50"/>
    <w:rsid w:val="006F257A"/>
    <w:rsid w:val="006F328B"/>
    <w:rsid w:val="006F5C9C"/>
    <w:rsid w:val="00700930"/>
    <w:rsid w:val="00704E77"/>
    <w:rsid w:val="00714D8B"/>
    <w:rsid w:val="00715457"/>
    <w:rsid w:val="00722401"/>
    <w:rsid w:val="007319F6"/>
    <w:rsid w:val="00736D93"/>
    <w:rsid w:val="00743309"/>
    <w:rsid w:val="00746C6C"/>
    <w:rsid w:val="00752910"/>
    <w:rsid w:val="00765CA7"/>
    <w:rsid w:val="00776248"/>
    <w:rsid w:val="00784036"/>
    <w:rsid w:val="00795A7A"/>
    <w:rsid w:val="007A5D1A"/>
    <w:rsid w:val="007E17DC"/>
    <w:rsid w:val="0080286C"/>
    <w:rsid w:val="0083065C"/>
    <w:rsid w:val="00841583"/>
    <w:rsid w:val="008644E8"/>
    <w:rsid w:val="00866BE9"/>
    <w:rsid w:val="008705B8"/>
    <w:rsid w:val="00895B05"/>
    <w:rsid w:val="008B496C"/>
    <w:rsid w:val="008B5DFF"/>
    <w:rsid w:val="008B64CC"/>
    <w:rsid w:val="008D281C"/>
    <w:rsid w:val="008E4359"/>
    <w:rsid w:val="008F006C"/>
    <w:rsid w:val="00913B2F"/>
    <w:rsid w:val="009201E2"/>
    <w:rsid w:val="009213A0"/>
    <w:rsid w:val="0093693B"/>
    <w:rsid w:val="0094175F"/>
    <w:rsid w:val="0096626D"/>
    <w:rsid w:val="009667A6"/>
    <w:rsid w:val="00972C04"/>
    <w:rsid w:val="0098491C"/>
    <w:rsid w:val="009A0F69"/>
    <w:rsid w:val="009A184E"/>
    <w:rsid w:val="009A2679"/>
    <w:rsid w:val="009A3F51"/>
    <w:rsid w:val="009A4213"/>
    <w:rsid w:val="009B09A9"/>
    <w:rsid w:val="009B2B24"/>
    <w:rsid w:val="009C16CF"/>
    <w:rsid w:val="009C3BC4"/>
    <w:rsid w:val="009D6B3C"/>
    <w:rsid w:val="009F4813"/>
    <w:rsid w:val="009F7B1A"/>
    <w:rsid w:val="009F7BDD"/>
    <w:rsid w:val="00A249CD"/>
    <w:rsid w:val="00A257FC"/>
    <w:rsid w:val="00A27982"/>
    <w:rsid w:val="00A34092"/>
    <w:rsid w:val="00A3424C"/>
    <w:rsid w:val="00A50BC2"/>
    <w:rsid w:val="00A538E1"/>
    <w:rsid w:val="00A53BF1"/>
    <w:rsid w:val="00A56E94"/>
    <w:rsid w:val="00A75C41"/>
    <w:rsid w:val="00A80234"/>
    <w:rsid w:val="00A80CF2"/>
    <w:rsid w:val="00A81127"/>
    <w:rsid w:val="00A8336F"/>
    <w:rsid w:val="00A86779"/>
    <w:rsid w:val="00A911B7"/>
    <w:rsid w:val="00B037DF"/>
    <w:rsid w:val="00B07374"/>
    <w:rsid w:val="00B12149"/>
    <w:rsid w:val="00B213FB"/>
    <w:rsid w:val="00B22ADE"/>
    <w:rsid w:val="00B25A7E"/>
    <w:rsid w:val="00B44921"/>
    <w:rsid w:val="00B472B1"/>
    <w:rsid w:val="00B47AA9"/>
    <w:rsid w:val="00B55E52"/>
    <w:rsid w:val="00B6298B"/>
    <w:rsid w:val="00B62F7C"/>
    <w:rsid w:val="00B70D23"/>
    <w:rsid w:val="00B74FB9"/>
    <w:rsid w:val="00B76302"/>
    <w:rsid w:val="00B85092"/>
    <w:rsid w:val="00B870BC"/>
    <w:rsid w:val="00B96B9D"/>
    <w:rsid w:val="00BC5965"/>
    <w:rsid w:val="00BD10D8"/>
    <w:rsid w:val="00BF3228"/>
    <w:rsid w:val="00BF4D5E"/>
    <w:rsid w:val="00BF5154"/>
    <w:rsid w:val="00C0133D"/>
    <w:rsid w:val="00C06192"/>
    <w:rsid w:val="00C06A06"/>
    <w:rsid w:val="00C12CA4"/>
    <w:rsid w:val="00C24608"/>
    <w:rsid w:val="00C42043"/>
    <w:rsid w:val="00C52978"/>
    <w:rsid w:val="00C8035F"/>
    <w:rsid w:val="00C82049"/>
    <w:rsid w:val="00C86132"/>
    <w:rsid w:val="00C86401"/>
    <w:rsid w:val="00C949BC"/>
    <w:rsid w:val="00C952DC"/>
    <w:rsid w:val="00CA5838"/>
    <w:rsid w:val="00CA734A"/>
    <w:rsid w:val="00CC6022"/>
    <w:rsid w:val="00CC6707"/>
    <w:rsid w:val="00CD27D5"/>
    <w:rsid w:val="00CD7144"/>
    <w:rsid w:val="00CF1C89"/>
    <w:rsid w:val="00CF24C0"/>
    <w:rsid w:val="00CF5CBE"/>
    <w:rsid w:val="00CF7DEF"/>
    <w:rsid w:val="00D10FAA"/>
    <w:rsid w:val="00D17525"/>
    <w:rsid w:val="00D22A8D"/>
    <w:rsid w:val="00D27FF2"/>
    <w:rsid w:val="00D400E0"/>
    <w:rsid w:val="00D50398"/>
    <w:rsid w:val="00D52986"/>
    <w:rsid w:val="00D5460E"/>
    <w:rsid w:val="00D560FC"/>
    <w:rsid w:val="00D76394"/>
    <w:rsid w:val="00D82C77"/>
    <w:rsid w:val="00D854DF"/>
    <w:rsid w:val="00D908D2"/>
    <w:rsid w:val="00D913EB"/>
    <w:rsid w:val="00D977B9"/>
    <w:rsid w:val="00DB2949"/>
    <w:rsid w:val="00DC699B"/>
    <w:rsid w:val="00DC7F5A"/>
    <w:rsid w:val="00DF19A9"/>
    <w:rsid w:val="00DF20D5"/>
    <w:rsid w:val="00DF4D39"/>
    <w:rsid w:val="00E10482"/>
    <w:rsid w:val="00E151BC"/>
    <w:rsid w:val="00E163C7"/>
    <w:rsid w:val="00E22D57"/>
    <w:rsid w:val="00E274D3"/>
    <w:rsid w:val="00E313D8"/>
    <w:rsid w:val="00E3767A"/>
    <w:rsid w:val="00E40503"/>
    <w:rsid w:val="00E50EF2"/>
    <w:rsid w:val="00E57886"/>
    <w:rsid w:val="00E60420"/>
    <w:rsid w:val="00E61639"/>
    <w:rsid w:val="00E8273B"/>
    <w:rsid w:val="00E86600"/>
    <w:rsid w:val="00E92C65"/>
    <w:rsid w:val="00EB0703"/>
    <w:rsid w:val="00EC03A9"/>
    <w:rsid w:val="00EC5BFC"/>
    <w:rsid w:val="00ED6AE9"/>
    <w:rsid w:val="00F031E3"/>
    <w:rsid w:val="00F0394D"/>
    <w:rsid w:val="00F05284"/>
    <w:rsid w:val="00F10F10"/>
    <w:rsid w:val="00F1194E"/>
    <w:rsid w:val="00F17D34"/>
    <w:rsid w:val="00F23BC4"/>
    <w:rsid w:val="00F30DFF"/>
    <w:rsid w:val="00F65C39"/>
    <w:rsid w:val="00F66E85"/>
    <w:rsid w:val="00F67002"/>
    <w:rsid w:val="00F711E8"/>
    <w:rsid w:val="00F7741A"/>
    <w:rsid w:val="00F827FF"/>
    <w:rsid w:val="00F8290A"/>
    <w:rsid w:val="00F86B2B"/>
    <w:rsid w:val="00F905F6"/>
    <w:rsid w:val="00F94FA6"/>
    <w:rsid w:val="00FA078D"/>
    <w:rsid w:val="00FA0CD9"/>
    <w:rsid w:val="00FA2F05"/>
    <w:rsid w:val="00FA6163"/>
    <w:rsid w:val="00FB7FE5"/>
    <w:rsid w:val="00FD0535"/>
    <w:rsid w:val="00FE43C8"/>
    <w:rsid w:val="00FF1CEA"/>
    <w:rsid w:val="00FF392D"/>
    <w:rsid w:val="02D8216D"/>
    <w:rsid w:val="02DB7E63"/>
    <w:rsid w:val="02E132C9"/>
    <w:rsid w:val="03060F81"/>
    <w:rsid w:val="04DA5D11"/>
    <w:rsid w:val="07B436A2"/>
    <w:rsid w:val="0BD0190D"/>
    <w:rsid w:val="0C9826AC"/>
    <w:rsid w:val="0D345752"/>
    <w:rsid w:val="0D492F25"/>
    <w:rsid w:val="0E482281"/>
    <w:rsid w:val="0EFE3BE5"/>
    <w:rsid w:val="10B262A5"/>
    <w:rsid w:val="12FB03D7"/>
    <w:rsid w:val="13513CE3"/>
    <w:rsid w:val="153B5BF3"/>
    <w:rsid w:val="19C21C4E"/>
    <w:rsid w:val="1B832978"/>
    <w:rsid w:val="1BE81C9A"/>
    <w:rsid w:val="1CFE1E89"/>
    <w:rsid w:val="1D2C0AB6"/>
    <w:rsid w:val="1DD71011"/>
    <w:rsid w:val="1ED3536C"/>
    <w:rsid w:val="1F9149FA"/>
    <w:rsid w:val="1FBE911F"/>
    <w:rsid w:val="1FFE260E"/>
    <w:rsid w:val="203C3D91"/>
    <w:rsid w:val="21022930"/>
    <w:rsid w:val="218C7B5E"/>
    <w:rsid w:val="22364628"/>
    <w:rsid w:val="22CF7841"/>
    <w:rsid w:val="25C97D9E"/>
    <w:rsid w:val="26924818"/>
    <w:rsid w:val="27383550"/>
    <w:rsid w:val="28173165"/>
    <w:rsid w:val="294A214A"/>
    <w:rsid w:val="29F9A7EF"/>
    <w:rsid w:val="2B373C0B"/>
    <w:rsid w:val="2D2762D9"/>
    <w:rsid w:val="2D373C88"/>
    <w:rsid w:val="2D4B3E44"/>
    <w:rsid w:val="2F0A22BF"/>
    <w:rsid w:val="2F6F52E2"/>
    <w:rsid w:val="2FBDF25A"/>
    <w:rsid w:val="2FF236F5"/>
    <w:rsid w:val="33803C6E"/>
    <w:rsid w:val="33D06BE0"/>
    <w:rsid w:val="36CD74C6"/>
    <w:rsid w:val="36E744CD"/>
    <w:rsid w:val="37263765"/>
    <w:rsid w:val="37F7D4EB"/>
    <w:rsid w:val="3A9FB7BF"/>
    <w:rsid w:val="3B4DA136"/>
    <w:rsid w:val="3CFF1B8C"/>
    <w:rsid w:val="3D6407A3"/>
    <w:rsid w:val="3DB77C07"/>
    <w:rsid w:val="3E9D03DC"/>
    <w:rsid w:val="3FD1D841"/>
    <w:rsid w:val="3FDEED28"/>
    <w:rsid w:val="3FFE7BF0"/>
    <w:rsid w:val="3FFF870A"/>
    <w:rsid w:val="40D23C76"/>
    <w:rsid w:val="40FD6E83"/>
    <w:rsid w:val="41072A6C"/>
    <w:rsid w:val="41AB1BB3"/>
    <w:rsid w:val="420F5468"/>
    <w:rsid w:val="44171CCD"/>
    <w:rsid w:val="46E47FF1"/>
    <w:rsid w:val="49BA3549"/>
    <w:rsid w:val="49FF2E7E"/>
    <w:rsid w:val="4AD870BB"/>
    <w:rsid w:val="4B097A33"/>
    <w:rsid w:val="4C5E3675"/>
    <w:rsid w:val="4F7F6ADA"/>
    <w:rsid w:val="4F974B6F"/>
    <w:rsid w:val="50084ECC"/>
    <w:rsid w:val="501808F6"/>
    <w:rsid w:val="51592BDD"/>
    <w:rsid w:val="516C4780"/>
    <w:rsid w:val="527C3E1F"/>
    <w:rsid w:val="53963229"/>
    <w:rsid w:val="545D1416"/>
    <w:rsid w:val="5468790A"/>
    <w:rsid w:val="55F7980D"/>
    <w:rsid w:val="570BF449"/>
    <w:rsid w:val="573C3A55"/>
    <w:rsid w:val="591C1ADA"/>
    <w:rsid w:val="59B70343"/>
    <w:rsid w:val="5A4F12B4"/>
    <w:rsid w:val="5BF5BCF2"/>
    <w:rsid w:val="5CB351B7"/>
    <w:rsid w:val="5DDBA467"/>
    <w:rsid w:val="5DFEB3DC"/>
    <w:rsid w:val="5E886ACB"/>
    <w:rsid w:val="5E8C743B"/>
    <w:rsid w:val="5E8F54B8"/>
    <w:rsid w:val="5EB74AD0"/>
    <w:rsid w:val="5F7B00BD"/>
    <w:rsid w:val="5F9829AE"/>
    <w:rsid w:val="5FEB75EB"/>
    <w:rsid w:val="5FFDB4EA"/>
    <w:rsid w:val="613BD01A"/>
    <w:rsid w:val="61F73944"/>
    <w:rsid w:val="62164CAC"/>
    <w:rsid w:val="621664C3"/>
    <w:rsid w:val="62960684"/>
    <w:rsid w:val="6354026A"/>
    <w:rsid w:val="63DFDBF8"/>
    <w:rsid w:val="652677D1"/>
    <w:rsid w:val="65B243BC"/>
    <w:rsid w:val="68467E8B"/>
    <w:rsid w:val="69EE1D33"/>
    <w:rsid w:val="6B0170A8"/>
    <w:rsid w:val="6B6951F5"/>
    <w:rsid w:val="6BF5943F"/>
    <w:rsid w:val="6CA85CA9"/>
    <w:rsid w:val="6CA92135"/>
    <w:rsid w:val="6D2C15F0"/>
    <w:rsid w:val="6DBF037A"/>
    <w:rsid w:val="6E768104"/>
    <w:rsid w:val="6FC1EFFC"/>
    <w:rsid w:val="6FE574EB"/>
    <w:rsid w:val="6FFA26EA"/>
    <w:rsid w:val="71673B09"/>
    <w:rsid w:val="718F6E95"/>
    <w:rsid w:val="725220CC"/>
    <w:rsid w:val="73872A45"/>
    <w:rsid w:val="73C41141"/>
    <w:rsid w:val="74996CB6"/>
    <w:rsid w:val="761402B1"/>
    <w:rsid w:val="769D9AB2"/>
    <w:rsid w:val="7767AAA6"/>
    <w:rsid w:val="77EEFFCE"/>
    <w:rsid w:val="79FA5CE5"/>
    <w:rsid w:val="7A4603CF"/>
    <w:rsid w:val="7AFDA299"/>
    <w:rsid w:val="7BDB502B"/>
    <w:rsid w:val="7BDBB1CE"/>
    <w:rsid w:val="7BDED309"/>
    <w:rsid w:val="7BEF5FBF"/>
    <w:rsid w:val="7CA1081E"/>
    <w:rsid w:val="7CC63005"/>
    <w:rsid w:val="7D67D649"/>
    <w:rsid w:val="7DCFB980"/>
    <w:rsid w:val="7DFD4AB7"/>
    <w:rsid w:val="7E243A6E"/>
    <w:rsid w:val="7E2C78B5"/>
    <w:rsid w:val="7ECE591B"/>
    <w:rsid w:val="7F477796"/>
    <w:rsid w:val="7F8F9D6F"/>
    <w:rsid w:val="7FBBA117"/>
    <w:rsid w:val="7FBF13B7"/>
    <w:rsid w:val="7FDF003C"/>
    <w:rsid w:val="7FDF3011"/>
    <w:rsid w:val="7FDFF808"/>
    <w:rsid w:val="7FEF9225"/>
    <w:rsid w:val="7FF7C2A0"/>
    <w:rsid w:val="7FFF2E03"/>
    <w:rsid w:val="7FFFFF59"/>
    <w:rsid w:val="8E3FC9C0"/>
    <w:rsid w:val="9A7AEF7C"/>
    <w:rsid w:val="9E759FC3"/>
    <w:rsid w:val="9F9ECCD9"/>
    <w:rsid w:val="9FDB6764"/>
    <w:rsid w:val="AFBF8AA6"/>
    <w:rsid w:val="BEEF5D71"/>
    <w:rsid w:val="BF6F2003"/>
    <w:rsid w:val="BFE530AD"/>
    <w:rsid w:val="BFF90871"/>
    <w:rsid w:val="C059CAB1"/>
    <w:rsid w:val="D7EDC2CA"/>
    <w:rsid w:val="DDAB29A2"/>
    <w:rsid w:val="DE9BDEC2"/>
    <w:rsid w:val="DFCAF466"/>
    <w:rsid w:val="DFFB027C"/>
    <w:rsid w:val="E3B7F847"/>
    <w:rsid w:val="E7F3902B"/>
    <w:rsid w:val="E91D101F"/>
    <w:rsid w:val="EA9EDC19"/>
    <w:rsid w:val="ED7FEDA1"/>
    <w:rsid w:val="EEAF6A9D"/>
    <w:rsid w:val="EEBFB09D"/>
    <w:rsid w:val="EF6F6004"/>
    <w:rsid w:val="EF79510E"/>
    <w:rsid w:val="EF8EE460"/>
    <w:rsid w:val="EF9DD0F7"/>
    <w:rsid w:val="EFBE8EAF"/>
    <w:rsid w:val="EFFF984A"/>
    <w:rsid w:val="F66EF2ED"/>
    <w:rsid w:val="F777529C"/>
    <w:rsid w:val="F77FB95F"/>
    <w:rsid w:val="F7B4E414"/>
    <w:rsid w:val="F7B72C24"/>
    <w:rsid w:val="F7FF3D76"/>
    <w:rsid w:val="F87E1845"/>
    <w:rsid w:val="FABBE7BE"/>
    <w:rsid w:val="FB7BD648"/>
    <w:rsid w:val="FBBF1FED"/>
    <w:rsid w:val="FD5EB89A"/>
    <w:rsid w:val="FE3DC01B"/>
    <w:rsid w:val="FEFB25F8"/>
    <w:rsid w:val="FF267A6D"/>
    <w:rsid w:val="FFB906AE"/>
    <w:rsid w:val="FFD7F598"/>
    <w:rsid w:val="FFDF21C7"/>
    <w:rsid w:val="FFDF27C0"/>
    <w:rsid w:val="FFEF2D40"/>
    <w:rsid w:val="FFF196A9"/>
    <w:rsid w:val="FFF74B79"/>
    <w:rsid w:val="FFFB51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4">
    <w:name w:val="caption"/>
    <w:basedOn w:val="1"/>
    <w:next w:val="1"/>
    <w:qFormat/>
    <w:uiPriority w:val="0"/>
    <w:pPr>
      <w:jc w:val="center"/>
    </w:pPr>
    <w:rPr>
      <w:rFonts w:ascii="Arial" w:hAnsi="Arial" w:eastAsia="黑体"/>
      <w:sz w:val="20"/>
    </w:rPr>
  </w:style>
  <w:style w:type="paragraph" w:styleId="5">
    <w:name w:val="annotation text"/>
    <w:basedOn w:val="1"/>
    <w:link w:val="29"/>
    <w:unhideWhenUsed/>
    <w:qFormat/>
    <w:uiPriority w:val="0"/>
    <w:pPr>
      <w:jc w:val="left"/>
    </w:pPr>
  </w:style>
  <w:style w:type="paragraph" w:styleId="6">
    <w:name w:val="Body Text"/>
    <w:basedOn w:val="1"/>
    <w:link w:val="34"/>
    <w:qFormat/>
    <w:uiPriority w:val="0"/>
    <w:rPr>
      <w:rFonts w:ascii="仿宋_GB2312" w:eastAsia="仿宋_GB2312" w:hAnsiTheme="minorHAnsi" w:cstheme="minorBidi"/>
      <w:sz w:val="32"/>
      <w:szCs w:val="22"/>
    </w:rPr>
  </w:style>
  <w:style w:type="paragraph" w:styleId="7">
    <w:name w:val="Body Text Indent"/>
    <w:basedOn w:val="1"/>
    <w:link w:val="38"/>
    <w:qFormat/>
    <w:uiPriority w:val="0"/>
    <w:pPr>
      <w:spacing w:line="520" w:lineRule="exact"/>
      <w:ind w:firstLine="630"/>
    </w:pPr>
    <w:rPr>
      <w:rFonts w:ascii="仿宋_GB2312" w:eastAsia="仿宋_GB2312" w:hAnsiTheme="minorHAnsi" w:cstheme="minorBidi"/>
      <w:sz w:val="32"/>
      <w:szCs w:val="24"/>
    </w:rPr>
  </w:style>
  <w:style w:type="paragraph" w:styleId="8">
    <w:name w:val="Plain Text"/>
    <w:basedOn w:val="1"/>
    <w:link w:val="36"/>
    <w:qFormat/>
    <w:uiPriority w:val="0"/>
    <w:pPr>
      <w:spacing w:line="360" w:lineRule="auto"/>
      <w:ind w:firstLine="480" w:firstLineChars="200"/>
    </w:pPr>
    <w:rPr>
      <w:rFonts w:ascii="仿宋_GB2312" w:hAnsiTheme="minorHAnsi" w:eastAsiaTheme="minorEastAsia" w:cstheme="minorBidi"/>
      <w:sz w:val="24"/>
      <w:szCs w:val="22"/>
    </w:rPr>
  </w:style>
  <w:style w:type="paragraph" w:styleId="9">
    <w:name w:val="Date"/>
    <w:basedOn w:val="1"/>
    <w:next w:val="1"/>
    <w:link w:val="32"/>
    <w:semiHidden/>
    <w:unhideWhenUsed/>
    <w:qFormat/>
    <w:uiPriority w:val="99"/>
    <w:pPr>
      <w:ind w:left="100" w:leftChars="2500"/>
    </w:pPr>
  </w:style>
  <w:style w:type="paragraph" w:styleId="10">
    <w:name w:val="Balloon Text"/>
    <w:basedOn w:val="1"/>
    <w:link w:val="30"/>
    <w:semiHidden/>
    <w:unhideWhenUsed/>
    <w:qFormat/>
    <w:uiPriority w:val="0"/>
    <w:rPr>
      <w:sz w:val="18"/>
      <w:szCs w:val="18"/>
    </w:rPr>
  </w:style>
  <w:style w:type="paragraph" w:styleId="11">
    <w:name w:val="footer"/>
    <w:basedOn w:val="1"/>
    <w:link w:val="26"/>
    <w:unhideWhenUsed/>
    <w:qFormat/>
    <w:uiPriority w:val="99"/>
    <w:pPr>
      <w:tabs>
        <w:tab w:val="center" w:pos="4153"/>
        <w:tab w:val="right" w:pos="8306"/>
      </w:tabs>
      <w:snapToGrid w:val="0"/>
      <w:jc w:val="left"/>
    </w:pPr>
    <w:rPr>
      <w:sz w:val="18"/>
      <w:szCs w:val="18"/>
    </w:rPr>
  </w:style>
  <w:style w:type="paragraph" w:styleId="12">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77"/>
      </w:tabs>
    </w:pPr>
    <w:rPr>
      <w:rFonts w:ascii="宋体" w:hAnsi="宋体"/>
      <w:sz w:val="32"/>
      <w:szCs w:val="32"/>
    </w:rPr>
  </w:style>
  <w:style w:type="paragraph" w:styleId="14">
    <w:name w:val="Body Text Indent 3"/>
    <w:basedOn w:val="1"/>
    <w:link w:val="37"/>
    <w:qFormat/>
    <w:uiPriority w:val="0"/>
    <w:pPr>
      <w:spacing w:after="120"/>
      <w:ind w:left="420" w:leftChars="200"/>
    </w:pPr>
    <w:rPr>
      <w:rFonts w:asciiTheme="minorHAnsi" w:hAnsiTheme="minorHAnsi" w:eastAsiaTheme="minorEastAsia" w:cstheme="minorBidi"/>
      <w:sz w:val="16"/>
      <w:szCs w:val="16"/>
    </w:rPr>
  </w:style>
  <w:style w:type="paragraph" w:styleId="15">
    <w:name w:val="toc 2"/>
    <w:basedOn w:val="1"/>
    <w:next w:val="1"/>
    <w:qFormat/>
    <w:uiPriority w:val="39"/>
    <w:pPr>
      <w:ind w:left="420" w:leftChars="200"/>
    </w:pPr>
    <w:rPr>
      <w:szCs w:val="24"/>
    </w:rPr>
  </w:style>
  <w:style w:type="paragraph" w:styleId="16">
    <w:name w:val="Body Text 2"/>
    <w:basedOn w:val="1"/>
    <w:link w:val="33"/>
    <w:qFormat/>
    <w:uiPriority w:val="0"/>
    <w:pPr>
      <w:spacing w:after="120" w:line="480" w:lineRule="auto"/>
    </w:pPr>
    <w:rPr>
      <w:rFonts w:asciiTheme="minorHAnsi" w:hAnsiTheme="minorHAnsi" w:eastAsiaTheme="minorEastAsia" w:cstheme="minorBidi"/>
      <w:szCs w:val="22"/>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8">
    <w:name w:val="annotation subject"/>
    <w:basedOn w:val="5"/>
    <w:next w:val="5"/>
    <w:link w:val="35"/>
    <w:qFormat/>
    <w:uiPriority w:val="0"/>
    <w:rPr>
      <w:rFonts w:asciiTheme="minorHAnsi" w:hAnsiTheme="minorHAnsi" w:eastAsiaTheme="minorEastAsia" w:cstheme="minorBidi"/>
      <w:b/>
      <w:bCs/>
      <w:szCs w:val="22"/>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99"/>
  </w:style>
  <w:style w:type="character" w:styleId="23">
    <w:name w:val="Hyperlink"/>
    <w:basedOn w:val="21"/>
    <w:unhideWhenUsed/>
    <w:qFormat/>
    <w:uiPriority w:val="99"/>
    <w:rPr>
      <w:color w:val="0563C1" w:themeColor="hyperlink"/>
      <w:u w:val="single"/>
      <w14:textFill>
        <w14:solidFill>
          <w14:schemeClr w14:val="hlink"/>
        </w14:solidFill>
      </w14:textFill>
    </w:rPr>
  </w:style>
  <w:style w:type="character" w:styleId="24">
    <w:name w:val="annotation reference"/>
    <w:basedOn w:val="21"/>
    <w:unhideWhenUsed/>
    <w:qFormat/>
    <w:uiPriority w:val="0"/>
    <w:rPr>
      <w:sz w:val="21"/>
      <w:szCs w:val="21"/>
    </w:rPr>
  </w:style>
  <w:style w:type="character" w:customStyle="1" w:styleId="25">
    <w:name w:val="页眉 字符1"/>
    <w:basedOn w:val="21"/>
    <w:link w:val="12"/>
    <w:qFormat/>
    <w:uiPriority w:val="0"/>
    <w:rPr>
      <w:rFonts w:ascii="Times New Roman" w:hAnsi="Times New Roman" w:eastAsia="宋体" w:cs="Times New Roman"/>
      <w:sz w:val="18"/>
      <w:szCs w:val="18"/>
    </w:rPr>
  </w:style>
  <w:style w:type="character" w:customStyle="1" w:styleId="26">
    <w:name w:val="页脚 字符1"/>
    <w:basedOn w:val="21"/>
    <w:link w:val="11"/>
    <w:qFormat/>
    <w:uiPriority w:val="99"/>
    <w:rPr>
      <w:rFonts w:ascii="Times New Roman" w:hAnsi="Times New Roman" w:eastAsia="宋体" w:cs="Times New Roman"/>
      <w:sz w:val="18"/>
      <w:szCs w:val="18"/>
    </w:rPr>
  </w:style>
  <w:style w:type="character" w:customStyle="1" w:styleId="27">
    <w:name w:val="标题 1 字符"/>
    <w:basedOn w:val="21"/>
    <w:link w:val="2"/>
    <w:qFormat/>
    <w:uiPriority w:val="0"/>
    <w:rPr>
      <w:rFonts w:ascii="Times New Roman" w:hAnsi="Times New Roman" w:eastAsia="宋体" w:cs="Times New Roman"/>
      <w:b/>
      <w:bCs/>
      <w:kern w:val="44"/>
      <w:sz w:val="44"/>
      <w:szCs w:val="44"/>
    </w:rPr>
  </w:style>
  <w:style w:type="paragraph" w:styleId="28">
    <w:name w:val="List Paragraph"/>
    <w:basedOn w:val="1"/>
    <w:qFormat/>
    <w:uiPriority w:val="34"/>
    <w:pPr>
      <w:ind w:firstLine="420" w:firstLineChars="200"/>
    </w:pPr>
    <w:rPr>
      <w:rFonts w:ascii="Calibri" w:hAnsi="Calibri"/>
      <w:szCs w:val="22"/>
    </w:rPr>
  </w:style>
  <w:style w:type="character" w:customStyle="1" w:styleId="29">
    <w:name w:val="批注文字 字符"/>
    <w:basedOn w:val="21"/>
    <w:link w:val="5"/>
    <w:qFormat/>
    <w:uiPriority w:val="0"/>
    <w:rPr>
      <w:rFonts w:ascii="Times New Roman" w:hAnsi="Times New Roman" w:eastAsia="宋体" w:cs="Times New Roman"/>
      <w:szCs w:val="20"/>
    </w:rPr>
  </w:style>
  <w:style w:type="character" w:customStyle="1" w:styleId="30">
    <w:name w:val="批注框文本 字符"/>
    <w:basedOn w:val="21"/>
    <w:link w:val="10"/>
    <w:semiHidden/>
    <w:qFormat/>
    <w:uiPriority w:val="99"/>
    <w:rPr>
      <w:rFonts w:ascii="Times New Roman" w:hAnsi="Times New Roman" w:eastAsia="宋体" w:cs="Times New Roman"/>
      <w:sz w:val="18"/>
      <w:szCs w:val="18"/>
    </w:rPr>
  </w:style>
  <w:style w:type="character" w:customStyle="1" w:styleId="31">
    <w:name w:val="标题 2 字符"/>
    <w:basedOn w:val="21"/>
    <w:link w:val="3"/>
    <w:qFormat/>
    <w:uiPriority w:val="9"/>
    <w:rPr>
      <w:rFonts w:asciiTheme="majorHAnsi" w:hAnsiTheme="majorHAnsi" w:eastAsiaTheme="majorEastAsia" w:cstheme="majorBidi"/>
      <w:b/>
      <w:bCs/>
      <w:sz w:val="32"/>
      <w:szCs w:val="32"/>
    </w:rPr>
  </w:style>
  <w:style w:type="character" w:customStyle="1" w:styleId="32">
    <w:name w:val="日期 字符"/>
    <w:basedOn w:val="21"/>
    <w:link w:val="9"/>
    <w:semiHidden/>
    <w:qFormat/>
    <w:uiPriority w:val="99"/>
    <w:rPr>
      <w:rFonts w:ascii="Times New Roman" w:hAnsi="Times New Roman" w:eastAsia="宋体" w:cs="Times New Roman"/>
      <w:szCs w:val="20"/>
    </w:rPr>
  </w:style>
  <w:style w:type="character" w:customStyle="1" w:styleId="33">
    <w:name w:val="正文文本 2 字符"/>
    <w:link w:val="16"/>
    <w:qFormat/>
    <w:uiPriority w:val="0"/>
  </w:style>
  <w:style w:type="character" w:customStyle="1" w:styleId="34">
    <w:name w:val="正文文本 字符"/>
    <w:link w:val="6"/>
    <w:qFormat/>
    <w:uiPriority w:val="0"/>
    <w:rPr>
      <w:rFonts w:ascii="仿宋_GB2312" w:eastAsia="仿宋_GB2312"/>
      <w:sz w:val="32"/>
    </w:rPr>
  </w:style>
  <w:style w:type="character" w:customStyle="1" w:styleId="35">
    <w:name w:val="批注主题 字符"/>
    <w:link w:val="18"/>
    <w:qFormat/>
    <w:uiPriority w:val="0"/>
    <w:rPr>
      <w:b/>
      <w:bCs/>
    </w:rPr>
  </w:style>
  <w:style w:type="character" w:customStyle="1" w:styleId="36">
    <w:name w:val="纯文本 字符1"/>
    <w:link w:val="8"/>
    <w:qFormat/>
    <w:uiPriority w:val="0"/>
    <w:rPr>
      <w:rFonts w:ascii="仿宋_GB2312"/>
      <w:sz w:val="24"/>
    </w:rPr>
  </w:style>
  <w:style w:type="character" w:customStyle="1" w:styleId="37">
    <w:name w:val="正文文本缩进 3 字符"/>
    <w:link w:val="14"/>
    <w:qFormat/>
    <w:uiPriority w:val="0"/>
    <w:rPr>
      <w:sz w:val="16"/>
      <w:szCs w:val="16"/>
    </w:rPr>
  </w:style>
  <w:style w:type="character" w:customStyle="1" w:styleId="38">
    <w:name w:val="正文文本缩进 字符"/>
    <w:link w:val="7"/>
    <w:qFormat/>
    <w:uiPriority w:val="0"/>
    <w:rPr>
      <w:rFonts w:ascii="仿宋_GB2312" w:eastAsia="仿宋_GB2312"/>
      <w:sz w:val="32"/>
      <w:szCs w:val="24"/>
    </w:rPr>
  </w:style>
  <w:style w:type="character" w:customStyle="1" w:styleId="39">
    <w:name w:val="纯文本 Char1"/>
    <w:basedOn w:val="21"/>
    <w:semiHidden/>
    <w:qFormat/>
    <w:uiPriority w:val="99"/>
    <w:rPr>
      <w:rFonts w:ascii="宋体" w:hAnsi="Courier New" w:eastAsia="宋体" w:cs="Courier New"/>
      <w:szCs w:val="21"/>
    </w:rPr>
  </w:style>
  <w:style w:type="character" w:customStyle="1" w:styleId="40">
    <w:name w:val="正文文本 Char1"/>
    <w:basedOn w:val="21"/>
    <w:semiHidden/>
    <w:qFormat/>
    <w:uiPriority w:val="99"/>
    <w:rPr>
      <w:rFonts w:ascii="Times New Roman" w:hAnsi="Times New Roman" w:eastAsia="宋体" w:cs="Times New Roman"/>
      <w:szCs w:val="20"/>
    </w:rPr>
  </w:style>
  <w:style w:type="character" w:customStyle="1" w:styleId="41">
    <w:name w:val="正文文本缩进 Char1"/>
    <w:basedOn w:val="21"/>
    <w:semiHidden/>
    <w:qFormat/>
    <w:uiPriority w:val="99"/>
    <w:rPr>
      <w:rFonts w:ascii="Times New Roman" w:hAnsi="Times New Roman" w:eastAsia="宋体" w:cs="Times New Roman"/>
      <w:szCs w:val="20"/>
    </w:rPr>
  </w:style>
  <w:style w:type="character" w:customStyle="1" w:styleId="42">
    <w:name w:val="批注主题 Char1"/>
    <w:basedOn w:val="29"/>
    <w:semiHidden/>
    <w:qFormat/>
    <w:uiPriority w:val="99"/>
    <w:rPr>
      <w:rFonts w:ascii="Times New Roman" w:hAnsi="Times New Roman" w:eastAsia="宋体" w:cs="Times New Roman"/>
      <w:b/>
      <w:bCs/>
      <w:szCs w:val="20"/>
    </w:rPr>
  </w:style>
  <w:style w:type="character" w:customStyle="1" w:styleId="43">
    <w:name w:val="正文文本缩进 3 Char1"/>
    <w:basedOn w:val="21"/>
    <w:semiHidden/>
    <w:qFormat/>
    <w:uiPriority w:val="99"/>
    <w:rPr>
      <w:rFonts w:ascii="Times New Roman" w:hAnsi="Times New Roman" w:eastAsia="宋体" w:cs="Times New Roman"/>
      <w:sz w:val="16"/>
      <w:szCs w:val="16"/>
    </w:rPr>
  </w:style>
  <w:style w:type="character" w:customStyle="1" w:styleId="44">
    <w:name w:val="正文文本 2 Char1"/>
    <w:basedOn w:val="21"/>
    <w:semiHidden/>
    <w:qFormat/>
    <w:uiPriority w:val="99"/>
    <w:rPr>
      <w:rFonts w:ascii="Times New Roman" w:hAnsi="Times New Roman" w:eastAsia="宋体" w:cs="Times New Roman"/>
      <w:szCs w:val="20"/>
    </w:rPr>
  </w:style>
  <w:style w:type="paragraph" w:customStyle="1" w:styleId="45">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6">
    <w:name w:val="_Style 8"/>
    <w:basedOn w:val="1"/>
    <w:next w:val="1"/>
    <w:qFormat/>
    <w:uiPriority w:val="0"/>
    <w:pPr>
      <w:spacing w:line="360" w:lineRule="auto"/>
      <w:ind w:firstLine="480" w:firstLineChars="200"/>
    </w:pPr>
    <w:rPr>
      <w:rFonts w:ascii="仿宋_GB2312"/>
      <w:sz w:val="24"/>
    </w:rPr>
  </w:style>
  <w:style w:type="table" w:customStyle="1" w:styleId="47">
    <w:name w:val="网格型1"/>
    <w:basedOn w:val="19"/>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8">
    <w:name w:val="纯文本 字符"/>
    <w:qFormat/>
    <w:uiPriority w:val="0"/>
    <w:rPr>
      <w:rFonts w:ascii="宋体" w:hAnsi="Courier New" w:cs="Courier New"/>
      <w:kern w:val="2"/>
      <w:sz w:val="21"/>
      <w:szCs w:val="21"/>
    </w:rPr>
  </w:style>
  <w:style w:type="table" w:customStyle="1" w:styleId="49">
    <w:name w:val="普通表格1"/>
    <w:semiHidden/>
    <w:qFormat/>
    <w:uiPriority w:val="99"/>
    <w:tblPr>
      <w:tblCellMar>
        <w:top w:w="0" w:type="dxa"/>
        <w:left w:w="108" w:type="dxa"/>
        <w:bottom w:w="0" w:type="dxa"/>
        <w:right w:w="108" w:type="dxa"/>
      </w:tblCellMar>
    </w:tblPr>
  </w:style>
  <w:style w:type="character" w:customStyle="1" w:styleId="50">
    <w:name w:val="页眉 字符"/>
    <w:qFormat/>
    <w:uiPriority w:val="0"/>
    <w:rPr>
      <w:kern w:val="2"/>
      <w:sz w:val="18"/>
      <w:szCs w:val="18"/>
    </w:rPr>
  </w:style>
  <w:style w:type="character" w:customStyle="1" w:styleId="51">
    <w:name w:val="页脚 字符"/>
    <w:qFormat/>
    <w:uiPriority w:val="99"/>
    <w:rPr>
      <w:kern w:val="2"/>
      <w:sz w:val="18"/>
      <w:szCs w:val="18"/>
    </w:rPr>
  </w:style>
  <w:style w:type="character" w:customStyle="1" w:styleId="52">
    <w:name w:val="未处理的提及1"/>
    <w:basedOn w:val="21"/>
    <w:semiHidden/>
    <w:unhideWhenUsed/>
    <w:qFormat/>
    <w:uiPriority w:val="99"/>
    <w:rPr>
      <w:color w:val="605E5C"/>
      <w:shd w:val="clear" w:color="auto" w:fill="E1DFDD"/>
    </w:rPr>
  </w:style>
  <w:style w:type="paragraph" w:customStyle="1" w:styleId="53">
    <w:name w:val="p15"/>
    <w:basedOn w:val="1"/>
    <w:qFormat/>
    <w:uiPriority w:val="0"/>
    <w:pPr>
      <w:widowControl/>
    </w:pPr>
    <w:rPr>
      <w:rFonts w:ascii="宋体" w:hAnsi="宋体" w:cs="宋体"/>
      <w:kern w:val="0"/>
      <w:szCs w:val="21"/>
    </w:rPr>
  </w:style>
  <w:style w:type="character" w:customStyle="1" w:styleId="54">
    <w:name w:val="fontstyle01"/>
    <w:basedOn w:val="21"/>
    <w:qFormat/>
    <w:uiPriority w:val="0"/>
    <w:rPr>
      <w:rFonts w:ascii="宋体" w:hAnsi="宋体" w:eastAsia="宋体" w:cs="宋体"/>
      <w:color w:val="000000"/>
      <w:sz w:val="22"/>
      <w:szCs w:val="22"/>
    </w:rPr>
  </w:style>
  <w:style w:type="character" w:customStyle="1" w:styleId="55">
    <w:name w:val="fontstyle21"/>
    <w:basedOn w:val="21"/>
    <w:qFormat/>
    <w:uiPriority w:val="0"/>
    <w:rPr>
      <w:rFonts w:ascii="TimesNewRomanPSMT" w:hAnsi="TimesNewRomanPSMT" w:eastAsia="TimesNewRomanPSMT" w:cs="TimesNewRomanPSMT"/>
      <w:color w:val="000000"/>
      <w:sz w:val="24"/>
      <w:szCs w:val="24"/>
    </w:rPr>
  </w:style>
  <w:style w:type="paragraph" w:customStyle="1" w:styleId="56">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9">
    <w:name w:val="图"/>
    <w:basedOn w:val="1"/>
    <w:next w:val="4"/>
    <w:qFormat/>
    <w:uiPriority w:val="0"/>
    <w:pPr>
      <w:jc w:val="center"/>
    </w:pPr>
  </w:style>
  <w:style w:type="paragraph" w:customStyle="1" w:styleId="60">
    <w:name w:val="Revision"/>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47</Pages>
  <Words>21227</Words>
  <Characters>22027</Characters>
  <Lines>168</Lines>
  <Paragraphs>47</Paragraphs>
  <TotalTime>55</TotalTime>
  <ScaleCrop>false</ScaleCrop>
  <LinksUpToDate>false</LinksUpToDate>
  <CharactersWithSpaces>22736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2023-08-02T01:14:00Z</dcterms:created>
  <dc:creator>zhanglei</dc:creator>
  <cp:lastModifiedBy>Eileen</cp:lastModifiedBy>
  <cp:lastPrinted>2023-06-12T10:57:00Z</cp:lastPrinted>
  <dcterms:modified xsi:type="dcterms:W3CDTF">2023-08-04T01:01:28Z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F7531DDEF27D4E6EB498774707943442_13</vt:lpwstr>
  </property>
</Properties>
</file>